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16" w:rsidRDefault="00CF7473">
      <w:pPr>
        <w:autoSpaceDE w:val="0"/>
        <w:spacing w:after="0" w:line="240" w:lineRule="auto"/>
        <w:rPr>
          <w:rFonts w:ascii="Times New Roman" w:hAnsi="Times New Roman"/>
          <w:sz w:val="28"/>
          <w:szCs w:val="28"/>
          <w:lang w:val="ro-RO"/>
        </w:rPr>
      </w:pPr>
      <w:bookmarkStart w:id="0" w:name="_GoBack"/>
      <w:bookmarkEnd w:id="0"/>
      <w:r>
        <w:rPr>
          <w:rFonts w:ascii="Times New Roman" w:hAnsi="Times New Roman"/>
          <w:sz w:val="28"/>
          <w:szCs w:val="28"/>
          <w:lang w:val="ro-RO"/>
        </w:rPr>
        <w:t xml:space="preserve">                     ORDIN  Nr. 1127/669/2019 din 18 iulie 2019</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privind modificarea şi completarea anexei nr. 1 la Ordinul ministrului sănătăţii publice şi al preşedintelui Casei Naţionale de Asigurări de Sănătate nr. </w:t>
      </w:r>
      <w:r>
        <w:rPr>
          <w:rFonts w:ascii="Times New Roman" w:hAnsi="Times New Roman"/>
          <w:sz w:val="28"/>
          <w:szCs w:val="28"/>
          <w:lang w:val="ro-RO"/>
        </w:rPr>
        <w:t>1.301/500/2008 pentru aprobarea protocoalelor terapeutice privind prescrierea medicamentelor aferente denumirilor comune internaţionale prevăzute în Lista cuprinzând denumirile comune internaţionale corespunzătoare medicamentelor de care beneficiază asigur</w:t>
      </w:r>
      <w:r>
        <w:rPr>
          <w:rFonts w:ascii="Times New Roman" w:hAnsi="Times New Roman"/>
          <w:sz w:val="28"/>
          <w:szCs w:val="28"/>
          <w:lang w:val="ro-RO"/>
        </w:rPr>
        <w:t>aţii, cu sau fără contribuţie personală, pe bază de prescripţie medicală, în sistemul de asigurări sociale de sănătate, aprobată prin Hotărârea Guvernului nr. 720/2008</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EMITENT:     MINISTERUL SĂNĂTĂŢII - Nr. 1.127</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CASA NAŢIONALĂ DE ASIGURĂRI D</w:t>
      </w:r>
      <w:r>
        <w:rPr>
          <w:rFonts w:ascii="Times New Roman" w:hAnsi="Times New Roman"/>
          <w:sz w:val="28"/>
          <w:szCs w:val="28"/>
          <w:lang w:val="ro-RO"/>
        </w:rPr>
        <w:t>E SĂNĂTATE - Nr. 669</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PUBLICAT ÎN: MONITORUL OFICIAL  NR. 610 din 24 iulie 2019</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Văzând Referatul de aprobare nr. S.P. 9.267 din 18.07.2019 al Direcţiei generale de asistenţă medicală şi sănătate publică din cadrul Ministerul Sănătăţii şi nr. D.G. 1.182</w:t>
      </w:r>
      <w:r>
        <w:rPr>
          <w:rFonts w:ascii="Times New Roman" w:hAnsi="Times New Roman"/>
          <w:sz w:val="28"/>
          <w:szCs w:val="28"/>
          <w:lang w:val="ro-RO"/>
        </w:rPr>
        <w:t xml:space="preserve"> din 18.07.2019 al Casei Naţionale de Asigurări de Sănătate,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având în vedere dispoziţiile art. 291 alin. (2) din Legea nr. 95/2006 privind reforma în domeniul sănătăţii, republicată, cu modificările şi completările ulterioare,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ţinând cont de preved</w:t>
      </w:r>
      <w:r>
        <w:rPr>
          <w:rFonts w:ascii="Times New Roman" w:hAnsi="Times New Roman"/>
          <w:sz w:val="28"/>
          <w:szCs w:val="28"/>
          <w:lang w:val="ro-RO"/>
        </w:rPr>
        <w:t>erile art. 4 din Hotărârea Guvernului nr. 720/2008 pentru aprobarea Listei cuprinzând denumirile comune internaţionale corespunzătoare medicamentelor de care beneficiază asiguraţii, cu sau fără contribuţie personală, pe bază de prescripţie medicală, în sis</w:t>
      </w:r>
      <w:r>
        <w:rPr>
          <w:rFonts w:ascii="Times New Roman" w:hAnsi="Times New Roman"/>
          <w:sz w:val="28"/>
          <w:szCs w:val="28"/>
          <w:lang w:val="ro-RO"/>
        </w:rPr>
        <w:t>temul de asigurări sociale de sănătate, precum şi denumirile comune internaţionale corespunzătoare medicamentelor care se acordă în cadrul programelor naţionale de sănătate, cu modificările şi completările ulterioare, şi ale art. 4 alin. (3^1) lit. l) şi m</w:t>
      </w:r>
      <w:r>
        <w:rPr>
          <w:rFonts w:ascii="Times New Roman" w:hAnsi="Times New Roman"/>
          <w:sz w:val="28"/>
          <w:szCs w:val="28"/>
          <w:lang w:val="ro-RO"/>
        </w:rPr>
        <w:t>) din Hotărârea Guvernului nr. 734/2010 privind organizarea şi funcţionarea Agenţiei Naţionale a Medicamentului şi a Dispozitivelor Medicale, cu modificările şi completările ulterioare,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temeiul art. 7 alin. (4) din Hotărârea Guvernului nr. 144/2010 </w:t>
      </w:r>
      <w:r>
        <w:rPr>
          <w:rFonts w:ascii="Times New Roman" w:hAnsi="Times New Roman"/>
          <w:sz w:val="28"/>
          <w:szCs w:val="28"/>
          <w:lang w:val="ro-RO"/>
        </w:rPr>
        <w:t>privind organizarea şi funcţionarea Ministerului Sănătăţii, cu modificările şi completările ulterioare, şi al art. 17 alin. (5) din Statutul Casei Naţionale de Asigurări de Sănătate, aprobat prin Hotărârea Guvernului nr. 972/2006, cu modificările şi comple</w:t>
      </w:r>
      <w:r>
        <w:rPr>
          <w:rFonts w:ascii="Times New Roman" w:hAnsi="Times New Roman"/>
          <w:sz w:val="28"/>
          <w:szCs w:val="28"/>
          <w:lang w:val="ro-RO"/>
        </w:rPr>
        <w:t>tările ulterioare,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ministrul sănătăţii</w:t>
      </w:r>
      <w:r>
        <w:rPr>
          <w:rFonts w:ascii="Times New Roman" w:hAnsi="Times New Roman"/>
          <w:sz w:val="28"/>
          <w:szCs w:val="28"/>
          <w:lang w:val="ro-RO"/>
        </w:rPr>
        <w:t xml:space="preserve"> şi </w:t>
      </w:r>
      <w:r>
        <w:rPr>
          <w:rFonts w:ascii="Times New Roman" w:hAnsi="Times New Roman"/>
          <w:b/>
          <w:bCs/>
          <w:sz w:val="28"/>
          <w:szCs w:val="28"/>
          <w:lang w:val="ro-RO"/>
        </w:rPr>
        <w:t>preşedintele Casei Naţionale de Asigurări de Sănătate</w:t>
      </w:r>
      <w:r>
        <w:rPr>
          <w:rFonts w:ascii="Times New Roman" w:hAnsi="Times New Roman"/>
          <w:sz w:val="28"/>
          <w:szCs w:val="28"/>
          <w:lang w:val="ro-RO"/>
        </w:rPr>
        <w:t xml:space="preserve"> emit următorul ordin:</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ART. 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Anexa nr. 1 la Ordinul ministrului sănătăţii publice şi al preşedintelui Casei Naţionale de Asigurări de Sănătate nr.</w:t>
      </w:r>
      <w:r>
        <w:rPr>
          <w:rFonts w:ascii="Times New Roman" w:hAnsi="Times New Roman"/>
          <w:sz w:val="28"/>
          <w:szCs w:val="28"/>
          <w:lang w:val="ro-RO"/>
        </w:rPr>
        <w:t xml:space="preserve"> 1.301/500/2008 pentru aprobarea </w:t>
      </w:r>
      <w:r>
        <w:rPr>
          <w:rFonts w:ascii="Times New Roman" w:hAnsi="Times New Roman"/>
          <w:sz w:val="28"/>
          <w:szCs w:val="28"/>
          <w:lang w:val="ro-RO"/>
        </w:rPr>
        <w:lastRenderedPageBreak/>
        <w:t>protocoalelor terapeutice privind prescrierea medicamentelor aferente denumirilor comune internaţionale prevăzute în Lista cuprinzând denumirile comune internaţionale corespunzătoare medicamentelor de care beneficiază asigu</w:t>
      </w:r>
      <w:r>
        <w:rPr>
          <w:rFonts w:ascii="Times New Roman" w:hAnsi="Times New Roman"/>
          <w:sz w:val="28"/>
          <w:szCs w:val="28"/>
          <w:lang w:val="ro-RO"/>
        </w:rPr>
        <w:t>raţii, cu sau fără contribuţie personală, pe bază de prescripţie medicală, în sistemul de asigurări sociale de sănătate, aprobată prin Hotărârea Guvernului nr. 720/2008, publicat în Monitorul Oficial al României, Partea I, nr. 531 şi 531 bis din 15 iulie 2</w:t>
      </w:r>
      <w:r>
        <w:rPr>
          <w:rFonts w:ascii="Times New Roman" w:hAnsi="Times New Roman"/>
          <w:sz w:val="28"/>
          <w:szCs w:val="28"/>
          <w:lang w:val="ro-RO"/>
        </w:rPr>
        <w:t>008, cu modificările şi completările ulterioare, se modifică şi se completează conform anexei care face parte integrantă din prezentul ordin.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ART. 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Prezentul ordin se publică în Monitorul Oficial al României, Partea 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p. Ministrul sănătăţii,</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Tiberius-Marius Brădăţan,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secretar de stat</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 Preşedintele Casei Naţionale de Asigurări de Sănătate,</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Răzvan Teohari Vulcănescu</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ANEXĂ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MODIFICĂRI ŞI COMPLETĂRI</w:t>
      </w:r>
    </w:p>
    <w:p w:rsidR="00D10D16" w:rsidRDefault="00CF7473">
      <w:pPr>
        <w:autoSpaceDE w:val="0"/>
        <w:spacing w:after="0" w:line="240" w:lineRule="auto"/>
      </w:pPr>
      <w:r>
        <w:rPr>
          <w:rFonts w:ascii="Times New Roman" w:hAnsi="Times New Roman"/>
          <w:b/>
          <w:bCs/>
          <w:sz w:val="28"/>
          <w:szCs w:val="28"/>
          <w:lang w:val="ro-RO"/>
        </w:rPr>
        <w:t>la anexa nr. 1 la Ordinul ministrului sănătăţii publice şi al preşedintelui Casei Naţionale de Asigurări de Sănătate nr. 1.301/500/2008</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lang w:val="ro-RO"/>
        </w:rPr>
        <w:t xml:space="preserve">   </w:t>
      </w:r>
      <w:r>
        <w:rPr>
          <w:rFonts w:ascii="Times New Roman" w:hAnsi="Times New Roman"/>
          <w:b/>
          <w:bCs/>
          <w:sz w:val="28"/>
          <w:szCs w:val="28"/>
          <w:lang w:val="ro-RO"/>
        </w:rPr>
        <w:t>1. După poziţia 268 se introduce o nouă poziţie, poziţia 269, cu următorul cuprins:</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NR. ANEXĂ  COD       TIP    DENUMIRE</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PROTOCOL</w:t>
      </w:r>
    </w:p>
    <w:p w:rsidR="00D10D16" w:rsidRDefault="00CF7473">
      <w:pPr>
        <w:autoSpaceDE w:val="0"/>
        <w:spacing w:after="0" w:line="240" w:lineRule="auto"/>
      </w:pPr>
      <w:r>
        <w:rPr>
          <w:rFonts w:ascii="Courier New" w:hAnsi="Courier New" w:cs="Courier New"/>
          <w:lang w:val="ro-RO"/>
        </w:rPr>
        <w:t xml:space="preserve"> "1.  269   A16AB09   DCI  IDURSULFASUM"</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 xml:space="preserve">2. Protocolul terapeutic corespunzător poziţiei nr. 177 cod </w:t>
      </w:r>
      <w:r>
        <w:rPr>
          <w:rFonts w:ascii="Times New Roman" w:hAnsi="Times New Roman"/>
          <w:b/>
          <w:bCs/>
          <w:sz w:val="28"/>
          <w:szCs w:val="28"/>
          <w:lang w:val="ro-RO"/>
        </w:rPr>
        <w:t>(L01XE10): DCI EVEROLIMUS se modifică şi va avea următorul cuprins:</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DCI: EVEROLIMUS</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SECŢIUNEA 1:</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 Astrocitom subependimal cu celule gigante (ASCG) asociat complexului sclerozei tuberoase (TSC)</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 Metodologia de includere în tratament </w:t>
      </w:r>
      <w:r>
        <w:rPr>
          <w:rFonts w:ascii="Times New Roman" w:hAnsi="Times New Roman"/>
          <w:sz w:val="28"/>
          <w:szCs w:val="28"/>
          <w:lang w:val="ro-RO"/>
        </w:rPr>
        <w:t>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pacienţi cu astrocitom subependimal cu celule gigante (ASCG) asociat complexului sclerozei tuberoase (CST), care nu necesită intervenţie neurochirurgicală de urgenţă sau care nu poate fi operat;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prezenţa a cel puţin o leziune de </w:t>
      </w:r>
      <w:r>
        <w:rPr>
          <w:rFonts w:ascii="Times New Roman" w:hAnsi="Times New Roman"/>
          <w:sz w:val="28"/>
          <w:szCs w:val="28"/>
          <w:lang w:val="ro-RO"/>
        </w:rPr>
        <w:t>tip astrocitom subependimal cu celule gigant (ASCG) cu diametrul maxim mai mare de 0,5 cm documentată prin examen imagistic (IRM sau CT);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creşterea ASCG argumentată prin imagini radiologice seriale;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vârsta &gt;= 1 an.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2. Metodologia de </w:t>
      </w:r>
      <w:r>
        <w:rPr>
          <w:rFonts w:ascii="Times New Roman" w:hAnsi="Times New Roman"/>
          <w:sz w:val="28"/>
          <w:szCs w:val="28"/>
          <w:lang w:val="ro-RO"/>
        </w:rPr>
        <w:t>excludere din tratamentul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cu simptomatologie acută datorată ASCG unde intervenţia chirurgicală este indicată;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 cunoscută la everolimus sau la alţi derivaţi de rapamicină (sirolimus) sau la oricare dint</w:t>
      </w:r>
      <w:r>
        <w:rPr>
          <w:rFonts w:ascii="Times New Roman" w:hAnsi="Times New Roman"/>
          <w:sz w:val="28"/>
          <w:szCs w:val="28"/>
          <w:lang w:val="ro-RO"/>
        </w:rPr>
        <w:t>re excipienţi.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3. Doze şi mod de administrare</w:t>
      </w:r>
    </w:p>
    <w:p w:rsidR="00D10D16" w:rsidRDefault="00CF7473">
      <w:pPr>
        <w:autoSpaceDE w:val="0"/>
        <w:spacing w:after="0" w:line="240" w:lineRule="auto"/>
      </w:pPr>
      <w:r>
        <w:rPr>
          <w:rFonts w:ascii="Times New Roman" w:hAnsi="Times New Roman"/>
          <w:sz w:val="28"/>
          <w:szCs w:val="28"/>
          <w:lang w:val="ro-RO"/>
        </w:rPr>
        <w:t xml:space="preserve">    • Doza iniţială recomandată de everolimus pentru tratarea pacienţilor cu ASCG este 4,5 mg/m</w:t>
      </w:r>
      <w:r>
        <w:rPr>
          <w:rFonts w:ascii="Times New Roman" w:hAnsi="Times New Roman"/>
          <w:sz w:val="28"/>
          <w:szCs w:val="28"/>
          <w:vertAlign w:val="superscript"/>
          <w:lang w:val="ro-RO"/>
        </w:rPr>
        <w:t>2</w:t>
      </w:r>
      <w:r>
        <w:rPr>
          <w:rFonts w:ascii="Times New Roman" w:hAnsi="Times New Roman"/>
          <w:sz w:val="28"/>
          <w:szCs w:val="28"/>
          <w:lang w:val="ro-RO"/>
        </w:rPr>
        <w:t>, concentraţiile minime de everolimus în sângele integral trebuie evaluate la aproximativ 2 săptămâni de la în</w:t>
      </w:r>
      <w:r>
        <w:rPr>
          <w:rFonts w:ascii="Times New Roman" w:hAnsi="Times New Roman"/>
          <w:sz w:val="28"/>
          <w:szCs w:val="28"/>
          <w:lang w:val="ro-RO"/>
        </w:rPr>
        <w:t>ceperea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Dozarea se va face individualizat în funcţie de suprafaţa corporală (SC), folosind formula Dubois, unde masa (m) este exprimată în kilograme, iar înălţimea (h) în centimetri: SC = (W0,425 x H0,725) x 0,007184.</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Doza trebui</w:t>
      </w:r>
      <w:r>
        <w:rPr>
          <w:rFonts w:ascii="Times New Roman" w:hAnsi="Times New Roman"/>
          <w:sz w:val="28"/>
          <w:szCs w:val="28"/>
          <w:lang w:val="ro-RO"/>
        </w:rPr>
        <w:t>e crescută treptat pentru a atinge concentraţiile de 5 până la 15 ng/ml.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Doza poate fi crescută pentru a obţine o concentraţie plasmatică mai mare în limita intervalului-ţintă, pentru a se obţine eficacitatea optimă, în funcţie de tolerabilitate.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r>
        <w:rPr>
          <w:rFonts w:ascii="Times New Roman" w:hAnsi="Times New Roman"/>
          <w:sz w:val="28"/>
          <w:szCs w:val="28"/>
          <w:lang w:val="ro-RO"/>
        </w:rPr>
        <w: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Re</w:t>
      </w:r>
      <w:r>
        <w:rPr>
          <w:rFonts w:ascii="Times New Roman" w:hAnsi="Times New Roman"/>
          <w:sz w:val="28"/>
          <w:szCs w:val="28"/>
          <w:lang w:val="ro-RO"/>
        </w:rPr>
        <w:t>comandările privind dozele la pacienţii copii şi adolescenţi cu ASCG sunt conforme cu cele la pacienţii adulţi cu ASCG.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4. Modificările dozei cauzate de reacţiile adverse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reacţii adverse de gradul 1 nu sunt necesare, de regulă, </w:t>
      </w:r>
      <w:r>
        <w:rPr>
          <w:rFonts w:ascii="Times New Roman" w:hAnsi="Times New Roman"/>
          <w:sz w:val="28"/>
          <w:szCs w:val="28"/>
          <w:lang w:val="ro-RO"/>
        </w:rPr>
        <w:t>modificări ale dozei. Dacă este necesară reducerea dozei, doza recomandată este cu aproximativ 50% mai mică decât doza zilnică administrată anterior.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reducerea dozei sub cea mai mică concentraţie disponibilă trebuie avută în vedere administrar</w:t>
      </w:r>
      <w:r>
        <w:rPr>
          <w:rFonts w:ascii="Times New Roman" w:hAnsi="Times New Roman"/>
          <w:sz w:val="28"/>
          <w:szCs w:val="28"/>
          <w:lang w:val="ro-RO"/>
        </w:rPr>
        <w:t>ea la intervale de două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5. Monitorizarea terapeutică a medicamentului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Monitorizarea terapeutică a concentraţiilor de everolimus din sânge, folosindu-se un test validat, este necesară la pacienţii trataţi pentru ASCG.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Concentraţiile tr</w:t>
      </w:r>
      <w:r>
        <w:rPr>
          <w:rFonts w:ascii="Times New Roman" w:hAnsi="Times New Roman"/>
          <w:sz w:val="28"/>
          <w:szCs w:val="28"/>
          <w:lang w:val="ro-RO"/>
        </w:rPr>
        <w:t xml:space="preserve">ebuie evaluate la minimum 1 săptămână de la doza iniţială, după orice modificare a dozei sau a formei farmaceutice, după iniţierea sau modificarea administrării concomitente de inductori sau inhibitori CYP3A4 sau după orice modificare a statusului hepatic </w:t>
      </w:r>
      <w:r>
        <w:rPr>
          <w:rFonts w:ascii="Times New Roman" w:hAnsi="Times New Roman"/>
          <w:sz w:val="28"/>
          <w:szCs w:val="28"/>
          <w:lang w:val="ro-RO"/>
        </w:rPr>
        <w:t>(Child-Pugh).</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6. Monitorizarea răspunsului la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volumul ASCG trebuie evaluat la aproximativ 3 luni de la iniţierea tratamentului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investigaţii imagistice (IRM):</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 la fiecare 3 luni în primul an de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2. la 6 luni în cazul ASCG cu diametrul maxim mai mare de 1 cm; la 12 luni, începând cu al doilea an de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7. Criterii de întrerupere 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lipsa eficacităţii clinice (evidenţiată prin examene imagistice IRM);</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reacţii adv</w:t>
      </w:r>
      <w:r>
        <w:rPr>
          <w:rFonts w:ascii="Times New Roman" w:hAnsi="Times New Roman"/>
          <w:sz w:val="28"/>
          <w:szCs w:val="28"/>
          <w:lang w:val="ro-RO"/>
        </w:rPr>
        <w:t>erse severe sau contraindicaţii;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lipsa de complianţă a pacientului la terapie/monitorizare.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8. Reluare tratament (condiţii): urmând criteriile prezentului protocol.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9. Criterii de includere a pacienţilor care au urmat tratament </w:t>
      </w:r>
      <w:r>
        <w:rPr>
          <w:rFonts w:ascii="Times New Roman" w:hAnsi="Times New Roman"/>
          <w:sz w:val="28"/>
          <w:szCs w:val="28"/>
          <w:lang w:val="ro-RO"/>
        </w:rPr>
        <w:t>sponsorizat sau din fonduri proprii, ca tratament de continuare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Pacientul trebuie să îndeplinească criteriile de includere, dar se va ţine cont de eficacitatea medicamentului în perioada în care a fost administrat - pacientul va fi tratat cu medicame</w:t>
      </w:r>
      <w:r>
        <w:rPr>
          <w:rFonts w:ascii="Times New Roman" w:hAnsi="Times New Roman"/>
          <w:sz w:val="28"/>
          <w:szCs w:val="28"/>
          <w:lang w:val="ro-RO"/>
        </w:rPr>
        <w:t>nt în cadrul programului dacă acesta s-a dovedit eficient pentru indicaţia pentru care este administrat şi pacientul este stabil.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10. Prescriptori: medici din specialitatea neurologie pediatrică, neurologie. Oprirea tratamentului trebuie raportată de c</w:t>
      </w:r>
      <w:r>
        <w:rPr>
          <w:rFonts w:ascii="Times New Roman" w:hAnsi="Times New Roman"/>
          <w:sz w:val="28"/>
          <w:szCs w:val="28"/>
          <w:lang w:val="ro-RO"/>
        </w:rPr>
        <w:t>ătre medicul prescriptor la CAS cu care acesta se află în relaţii contractuale, în termen de maximum 10 zile de la întreruperea tratamentului.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SECŢIUNEA 2:</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 Indicaţii: angiomiolipom renal asociat cu complexul sclerozei tuberoase (TSC)</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 M</w:t>
      </w:r>
      <w:r>
        <w:rPr>
          <w:rFonts w:ascii="Times New Roman" w:hAnsi="Times New Roman"/>
          <w:sz w:val="28"/>
          <w:szCs w:val="28"/>
          <w:lang w:val="ro-RO"/>
        </w:rPr>
        <w:t>etodologia de includere în tratamentul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 adulţi cu angiomiolipom renal asociat cu complexul sclerozei tuberoase (CST) care prezintă riscul apariţiei de complicaţii (pe baza unor factori cum sunt dimensiunea tumorii, prezenţa ane</w:t>
      </w:r>
      <w:r>
        <w:rPr>
          <w:rFonts w:ascii="Times New Roman" w:hAnsi="Times New Roman"/>
          <w:sz w:val="28"/>
          <w:szCs w:val="28"/>
          <w:lang w:val="ro-RO"/>
        </w:rPr>
        <w:t>vrismului sau prezenţa tumorilor multiple sau bilaterale), dar care nu necesită intervenţie chirurgicală imediată;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leziunile AML cu diametrul maxim egal sau mai mare de 3 cm documentat prin examen imagistic (RMN sau CT); tratamentul cu un inhibitor d</w:t>
      </w:r>
      <w:r>
        <w:rPr>
          <w:rFonts w:ascii="Times New Roman" w:hAnsi="Times New Roman"/>
          <w:sz w:val="28"/>
          <w:szCs w:val="28"/>
          <w:lang w:val="ro-RO"/>
        </w:rPr>
        <w:t>e mTOR este recomandat ca fiind cel mai eficient tratament de prima linie (evidenţă de categorie 1);</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creşterea în dimensiuni a angiolipomului argumentată prin imagini radiologice seriale;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evaluarea funcţiei renale (teste serice pentru determina</w:t>
      </w:r>
      <w:r>
        <w:rPr>
          <w:rFonts w:ascii="Times New Roman" w:hAnsi="Times New Roman"/>
          <w:sz w:val="28"/>
          <w:szCs w:val="28"/>
          <w:lang w:val="ro-RO"/>
        </w:rPr>
        <w:t>rea ratei de filtrare glomerulară) şi a tensiunii arteriale.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2. Metodologia de excludere din tratamentul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cu simptomatologie acută datorată angiomiolipomului unde intervenţia chirurgicală este indicată (inclusiv hemoragie </w:t>
      </w:r>
      <w:r>
        <w:rPr>
          <w:rFonts w:ascii="Times New Roman" w:hAnsi="Times New Roman"/>
          <w:sz w:val="28"/>
          <w:szCs w:val="28"/>
          <w:lang w:val="ro-RO"/>
        </w:rPr>
        <w:t>determinată de AML);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 cunoscută la everolimus sau la alţi derivaţi de rapamicină (sirolimus) sau la oricare dintre excipienţi.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3. Doze şi mod de administrare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Doza recomandată este de 10 mg de everolimus o dată pe zi.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Tratamentul trebuie continuat atât timp cât se observă un beneficiu clinic sau până când apare un nivel inacceptabil de toxicitate.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Dacă omite o doză, pacientul nu trebuie să ia o doză suplimentară, ci următoarea doza prescrisă.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Hipertensiunea</w:t>
      </w:r>
      <w:r>
        <w:rPr>
          <w:rFonts w:ascii="Times New Roman" w:hAnsi="Times New Roman"/>
          <w:sz w:val="28"/>
          <w:szCs w:val="28"/>
          <w:lang w:val="ro-RO"/>
        </w:rPr>
        <w:t xml:space="preserve"> la pacienţii cu AML trebuie tratată de primă intenţie cu un inhibitor al sistemului renină-angiotensină-aldosteron, însă trebuie evitată asocierea inhibitorilor enzimei de conversie a angiotensinei la pacienţii trataţi cu un inhibitor de mTOR (evidenţă de</w:t>
      </w:r>
      <w:r>
        <w:rPr>
          <w:rFonts w:ascii="Times New Roman" w:hAnsi="Times New Roman"/>
          <w:sz w:val="28"/>
          <w:szCs w:val="28"/>
          <w:lang w:val="ro-RO"/>
        </w:rPr>
        <w:t xml:space="preserve"> categorie 1).</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4. Modificările dozei cauzate de reacţiile adverse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reacţii adverse de gradul 1 nu sunt necesare, de regulă, modificări ale dozei. Dacă este necesară reducerea dozei, doza recomandată este cu aproximativ 50% mai mică decât do</w:t>
      </w:r>
      <w:r>
        <w:rPr>
          <w:rFonts w:ascii="Times New Roman" w:hAnsi="Times New Roman"/>
          <w:sz w:val="28"/>
          <w:szCs w:val="28"/>
          <w:lang w:val="ro-RO"/>
        </w:rPr>
        <w:t>za zilnică administrată anterior.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reducerea dozei sub cea mai mică concentraţie disponibilă trebuie avută în vedere administrarea la intervale de două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5. Monitorizarea terapeutică a medicamentului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Monitorizarea </w:t>
      </w:r>
      <w:r>
        <w:rPr>
          <w:rFonts w:ascii="Times New Roman" w:hAnsi="Times New Roman"/>
          <w:sz w:val="28"/>
          <w:szCs w:val="28"/>
          <w:lang w:val="ro-RO"/>
        </w:rPr>
        <w:t>terapeutică a concentraţiilor de everolimus din sânge, folosindu-se un test validat, este o opţiune ce va fi luată în considerare pentru pacienţii trataţi pentru angiomiolipom renal asociat cu CST după iniţierea sau modificarea administrării concomitente c</w:t>
      </w:r>
      <w:r>
        <w:rPr>
          <w:rFonts w:ascii="Times New Roman" w:hAnsi="Times New Roman"/>
          <w:sz w:val="28"/>
          <w:szCs w:val="28"/>
          <w:lang w:val="ro-RO"/>
        </w:rPr>
        <w:t>u inductori sau inhibitori ai CYP3A4, după orice modificare a statusului hepatic (Child-Pugh).</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6. Monitorizarea răspunsului la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volumul angiomiolipomului trebuie evaluat la 6 luni de la iniţierea tratamentului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inves</w:t>
      </w:r>
      <w:r>
        <w:rPr>
          <w:rFonts w:ascii="Times New Roman" w:hAnsi="Times New Roman"/>
          <w:sz w:val="28"/>
          <w:szCs w:val="28"/>
          <w:lang w:val="ro-RO"/>
        </w:rPr>
        <w:t>tigaţii imagistice (CT sau RMN):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la fiecare 6 luni de la iniţierea tratamentului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RMN este recomandat la 1 - 3 ani de la diagnosticul iniţial;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evaluarea cel puţin anuală a funcţiei renale (incluzând rata de filtrare </w:t>
      </w:r>
      <w:r>
        <w:rPr>
          <w:rFonts w:ascii="Times New Roman" w:hAnsi="Times New Roman"/>
          <w:sz w:val="28"/>
          <w:szCs w:val="28"/>
          <w:lang w:val="ro-RO"/>
        </w:rPr>
        <w:t>glomerulară) şi a tensiunii arteriale.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7. Criterii de întrerupere 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lipsa eficacităţii clinice (evidenţiată prin examene imagistice RMN);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reacţii adverse severe sau contraindicaţii;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lipsa de complianţă a pacientului la </w:t>
      </w:r>
      <w:r>
        <w:rPr>
          <w:rFonts w:ascii="Times New Roman" w:hAnsi="Times New Roman"/>
          <w:sz w:val="28"/>
          <w:szCs w:val="28"/>
          <w:lang w:val="ro-RO"/>
        </w:rPr>
        <w:t>terapie/monitorizare.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8. Reluare tratament (condiţii): urmând criteriile prezentului protocol.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9. Criterii de includere a pacienţilor care au urmat tratament sponsorizat sau din fonduri proprii, ca tratament de continuare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Pacientul trebuie să</w:t>
      </w:r>
      <w:r>
        <w:rPr>
          <w:rFonts w:ascii="Times New Roman" w:hAnsi="Times New Roman"/>
          <w:sz w:val="28"/>
          <w:szCs w:val="28"/>
          <w:lang w:val="ro-RO"/>
        </w:rPr>
        <w:t xml:space="preserve"> îndeplinească criteriile de includere, dar se va ţine cont de eficacitatea medicamentului în perioada în care a fost administrat - pacientul va fi tratat cu medicament în cadrul programului dacă acesta s-a dovedit eficient pentru indicaţia pentru care est</w:t>
      </w:r>
      <w:r>
        <w:rPr>
          <w:rFonts w:ascii="Times New Roman" w:hAnsi="Times New Roman"/>
          <w:sz w:val="28"/>
          <w:szCs w:val="28"/>
          <w:lang w:val="ro-RO"/>
        </w:rPr>
        <w:t>e administrat şi pacientul este stabil.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10. Medicii din specialitatea: nefrologie, urologie, neurologie şi neurologie pediatrică (după confirmarea diagnosticului de angiomiolipom renal de către nefrolog/urolog). Oprirea tratamentului trebuie raportată </w:t>
      </w:r>
      <w:r>
        <w:rPr>
          <w:rFonts w:ascii="Times New Roman" w:hAnsi="Times New Roman"/>
          <w:sz w:val="28"/>
          <w:szCs w:val="28"/>
          <w:lang w:val="ro-RO"/>
        </w:rPr>
        <w:t>de către medicul prescriptor la CAS cu care acesta se află în relaţii contractuale, în termen de maximum 10 zile de la întreruperea tratamentului.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SECŢIUNEA 3:</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III. Indicaţii: epilepsii rezistente la tratamentul anticonvulsivant*) asociate complex</w:t>
      </w:r>
      <w:r>
        <w:rPr>
          <w:rFonts w:ascii="Times New Roman" w:hAnsi="Times New Roman"/>
          <w:b/>
          <w:bCs/>
          <w:sz w:val="28"/>
          <w:szCs w:val="28"/>
          <w:lang w:val="ro-RO"/>
        </w:rPr>
        <w:t>ului sclerozei tuberoase (TSC)</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 Metodologia de includere în tratament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 cu vârsta de 2 ani şi peste această vârstă, ale căror crize epileptice rezistente*) la tratamentul anticonvulsivant, cu debut focal, cu sau fără gene</w:t>
      </w:r>
      <w:r>
        <w:rPr>
          <w:rFonts w:ascii="Times New Roman" w:hAnsi="Times New Roman"/>
          <w:sz w:val="28"/>
          <w:szCs w:val="28"/>
          <w:lang w:val="ro-RO"/>
        </w:rPr>
        <w:t>ralizare secundară, sunt asociate cu complexul sclerozei tuberoase.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Crize epileptice rezistente la tratament = crize persistente deşi au fost administrate cel puţin 2 medicamente anticonvulsivante, indicate şi administrate corect, în mo</w:t>
      </w:r>
      <w:r>
        <w:rPr>
          <w:rFonts w:ascii="Times New Roman" w:hAnsi="Times New Roman"/>
          <w:sz w:val="28"/>
          <w:szCs w:val="28"/>
          <w:lang w:val="ro-RO"/>
        </w:rPr>
        <w:t>noterapie şi/sau combinaţie.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2. Metodologia de excludere din tratamentul cu everolimus: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 cunoscută la everolimus, la alţi derivaţi de rapamicină sau la oricare dintre excipienţi;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 cu astrocitom subependimal cu cel</w:t>
      </w:r>
      <w:r>
        <w:rPr>
          <w:rFonts w:ascii="Times New Roman" w:hAnsi="Times New Roman"/>
          <w:sz w:val="28"/>
          <w:szCs w:val="28"/>
          <w:lang w:val="ro-RO"/>
        </w:rPr>
        <w:t>ule gigante (ASCG) care necesită intervenţie chirurgicală de urgenţă;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 care prezintă crize epileptice de alte cauze decât cele asociate complexului sclerozei tuberoase.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3. Doze şi mod de administrare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Doza iniţială de everolimus reco</w:t>
      </w:r>
      <w:r>
        <w:rPr>
          <w:rFonts w:ascii="Times New Roman" w:hAnsi="Times New Roman"/>
          <w:sz w:val="28"/>
          <w:szCs w:val="28"/>
          <w:lang w:val="ro-RO"/>
        </w:rPr>
        <w:t>mandată pentru tratamentul pacienţilor cu convulsii este prezentată în tabelul de mai jos.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a obţine doza dorită pot fi combinate concentraţii diferite de everolimus comprimate pentru dispersie orală.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Doza iniţială de everolimus la pacienţi</w:t>
      </w:r>
      <w:r>
        <w:rPr>
          <w:rFonts w:ascii="Times New Roman" w:hAnsi="Times New Roman"/>
          <w:sz w:val="28"/>
          <w:szCs w:val="28"/>
          <w:lang w:val="ro-RO"/>
        </w:rPr>
        <w:t>i cu convulsii refractare asociate CST</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Vârsta   | Doza iniţială fără | Doza iniţială cu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administrarea      | administrarea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 concomitentă a     | </w:t>
      </w:r>
      <w:r>
        <w:rPr>
          <w:rFonts w:ascii="Courier New" w:hAnsi="Courier New" w:cs="Courier New"/>
          <w:lang w:val="ro-RO"/>
        </w:rPr>
        <w:t>concomitentă a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unui inductor      | unui inductor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CYP3A4/PgP         | CYP3A4/PgP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w:t>
      </w:r>
    </w:p>
    <w:p w:rsidR="00D10D16" w:rsidRDefault="00CF7473">
      <w:pPr>
        <w:autoSpaceDE w:val="0"/>
        <w:spacing w:after="0" w:line="240" w:lineRule="auto"/>
      </w:pPr>
      <w:r>
        <w:rPr>
          <w:rFonts w:ascii="Courier New" w:hAnsi="Courier New" w:cs="Courier New"/>
          <w:lang w:val="ro-RO"/>
        </w:rPr>
        <w:t>| &lt; 6 ani   |      6 mg/m</w:t>
      </w:r>
      <w:r>
        <w:rPr>
          <w:rFonts w:ascii="Courier New" w:hAnsi="Courier New" w:cs="Courier New"/>
          <w:vertAlign w:val="superscript"/>
          <w:lang w:val="ro-RO"/>
        </w:rPr>
        <w:t>2</w:t>
      </w:r>
      <w:r>
        <w:rPr>
          <w:rFonts w:ascii="Courier New" w:hAnsi="Courier New" w:cs="Courier New"/>
          <w:lang w:val="ro-RO"/>
        </w:rPr>
        <w:t xml:space="preserve">      </w:t>
      </w:r>
      <w:r>
        <w:rPr>
          <w:rFonts w:ascii="Courier New" w:hAnsi="Courier New" w:cs="Courier New"/>
          <w:vertAlign w:val="subscript"/>
          <w:lang w:val="ro-RO"/>
        </w:rPr>
        <w:t xml:space="preserve">  </w:t>
      </w:r>
      <w:r>
        <w:rPr>
          <w:rFonts w:ascii="Courier New" w:hAnsi="Courier New" w:cs="Courier New"/>
          <w:lang w:val="ro-RO"/>
        </w:rPr>
        <w:t>|     9 mg/m</w:t>
      </w:r>
      <w:r>
        <w:rPr>
          <w:rFonts w:ascii="Courier New" w:hAnsi="Courier New" w:cs="Courier New"/>
          <w:vertAlign w:val="superscript"/>
          <w:lang w:val="ro-RO"/>
        </w:rPr>
        <w:t>2</w:t>
      </w:r>
      <w:r>
        <w:rPr>
          <w:rFonts w:ascii="Courier New" w:hAnsi="Courier New" w:cs="Courier New"/>
          <w:lang w:val="ro-RO"/>
        </w:rPr>
        <w:t xml:space="preserve">     </w:t>
      </w:r>
      <w:r>
        <w:rPr>
          <w:rFonts w:ascii="Courier New" w:hAnsi="Courier New" w:cs="Courier New"/>
          <w:vertAlign w:val="subscript"/>
          <w:lang w:val="ro-RO"/>
        </w:rPr>
        <w:t xml:space="preserve">  </w:t>
      </w:r>
      <w:r>
        <w:rPr>
          <w:rFonts w:ascii="Courier New" w:hAnsi="Courier New" w:cs="Courier New"/>
          <w:lang w:val="ro-RO"/>
        </w:rPr>
        <w:t>|</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w:t>
      </w:r>
      <w:r>
        <w:rPr>
          <w:rFonts w:ascii="Courier New" w:hAnsi="Courier New" w:cs="Courier New"/>
          <w:lang w:val="ro-RO"/>
        </w:rPr>
        <w:t>______________|__________________|</w:t>
      </w:r>
    </w:p>
    <w:p w:rsidR="00D10D16" w:rsidRDefault="00CF7473">
      <w:pPr>
        <w:autoSpaceDE w:val="0"/>
        <w:spacing w:after="0" w:line="240" w:lineRule="auto"/>
      </w:pPr>
      <w:r>
        <w:rPr>
          <w:rFonts w:ascii="Courier New" w:hAnsi="Courier New" w:cs="Courier New"/>
          <w:lang w:val="ro-RO"/>
        </w:rPr>
        <w:t>| &gt;/= 6 ani |      5 mg/m</w:t>
      </w:r>
      <w:r>
        <w:rPr>
          <w:rFonts w:ascii="Courier New" w:hAnsi="Courier New" w:cs="Courier New"/>
          <w:vertAlign w:val="superscript"/>
          <w:lang w:val="ro-RO"/>
        </w:rPr>
        <w:t>2</w:t>
      </w:r>
      <w:r>
        <w:rPr>
          <w:rFonts w:ascii="Courier New" w:hAnsi="Courier New" w:cs="Courier New"/>
          <w:lang w:val="ro-RO"/>
        </w:rPr>
        <w:t xml:space="preserve">      </w:t>
      </w:r>
      <w:r>
        <w:rPr>
          <w:rFonts w:ascii="Courier New" w:hAnsi="Courier New" w:cs="Courier New"/>
          <w:vertAlign w:val="subscript"/>
          <w:lang w:val="ro-RO"/>
        </w:rPr>
        <w:t xml:space="preserve">  </w:t>
      </w:r>
      <w:r>
        <w:rPr>
          <w:rFonts w:ascii="Courier New" w:hAnsi="Courier New" w:cs="Courier New"/>
          <w:lang w:val="ro-RO"/>
        </w:rPr>
        <w:t>|     8 mg/m</w:t>
      </w:r>
      <w:r>
        <w:rPr>
          <w:rFonts w:ascii="Courier New" w:hAnsi="Courier New" w:cs="Courier New"/>
          <w:vertAlign w:val="superscript"/>
          <w:lang w:val="ro-RO"/>
        </w:rPr>
        <w:t>2</w:t>
      </w:r>
      <w:r>
        <w:rPr>
          <w:rFonts w:ascii="Courier New" w:hAnsi="Courier New" w:cs="Courier New"/>
          <w:lang w:val="ro-RO"/>
        </w:rPr>
        <w:t xml:space="preserve">     </w:t>
      </w:r>
      <w:r>
        <w:rPr>
          <w:rFonts w:ascii="Courier New" w:hAnsi="Courier New" w:cs="Courier New"/>
          <w:vertAlign w:val="subscript"/>
          <w:lang w:val="ro-RO"/>
        </w:rPr>
        <w:t xml:space="preserve">  </w:t>
      </w:r>
      <w:r>
        <w:rPr>
          <w:rFonts w:ascii="Courier New" w:hAnsi="Courier New" w:cs="Courier New"/>
          <w:lang w:val="ro-RO"/>
        </w:rPr>
        <w:t>|</w:t>
      </w:r>
    </w:p>
    <w:p w:rsidR="00D10D16" w:rsidRDefault="00CF7473">
      <w:pPr>
        <w:autoSpaceDE w:val="0"/>
        <w:spacing w:after="0" w:line="240" w:lineRule="auto"/>
      </w:pPr>
      <w:r>
        <w:rPr>
          <w:rFonts w:ascii="Courier New" w:hAnsi="Courier New" w:cs="Courier New"/>
          <w:lang w:val="ro-RO"/>
        </w:rPr>
        <w:t>|___________|____________________|__________________|</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Recomandările privind dozele pentru pacienţii copii şi adolescenţi sunt conforme cu cele pentru populaţia </w:t>
      </w:r>
      <w:r>
        <w:rPr>
          <w:rFonts w:ascii="Times New Roman" w:hAnsi="Times New Roman"/>
          <w:sz w:val="28"/>
          <w:szCs w:val="28"/>
          <w:lang w:val="ro-RO"/>
        </w:rPr>
        <w:t>adultă, cu excepţia pacienţilor cu vârsta cuprinsă între 2 ani şi sub 6 ani şi pacienţii cu insuficienţă hepatică.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4. Modificările dozei cauzate de reacţiile adverse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reacţii adverse de gradul 1 nu sunt necesare, de regulă, modificări ale d</w:t>
      </w:r>
      <w:r>
        <w:rPr>
          <w:rFonts w:ascii="Times New Roman" w:hAnsi="Times New Roman"/>
          <w:sz w:val="28"/>
          <w:szCs w:val="28"/>
          <w:lang w:val="ro-RO"/>
        </w:rPr>
        <w:t>ozei. Dacă este necesară reducerea dozei, doza recomandată este cu aproximativ 50% mai mică decât doza zilnică administrată anterior.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reducerea dozei sub cea mai mică concentraţie disponibilă trebuie avută în vedere administrarea la intervale </w:t>
      </w:r>
      <w:r>
        <w:rPr>
          <w:rFonts w:ascii="Times New Roman" w:hAnsi="Times New Roman"/>
          <w:sz w:val="28"/>
          <w:szCs w:val="28"/>
          <w:lang w:val="ro-RO"/>
        </w:rPr>
        <w:t>de două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5. Monitorizarea terapeutică a medicamentului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Monitorizarea terapeutică a concentraţiilor de everolimus din sânge, folosindu-se un test validat, este necesară la minimum o săptămână de la începerea tratamentului. Doza trebuie ajusta</w:t>
      </w:r>
      <w:r>
        <w:rPr>
          <w:rFonts w:ascii="Times New Roman" w:hAnsi="Times New Roman"/>
          <w:sz w:val="28"/>
          <w:szCs w:val="28"/>
          <w:lang w:val="ro-RO"/>
        </w:rPr>
        <w:t>tă pentru a se obţine concentraţii plasmatice de 5 până la 15 ng/ml. Doza poate fi crescută pentru a obţine o concentraţie plasmatică mai mare în intervalul-ţintă pentru obţinerea eficacităţii optime, în funcţie de tolerabilitate.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Creşterea treptată </w:t>
      </w:r>
      <w:r>
        <w:rPr>
          <w:rFonts w:ascii="Times New Roman" w:hAnsi="Times New Roman"/>
          <w:sz w:val="28"/>
          <w:szCs w:val="28"/>
          <w:lang w:val="ro-RO"/>
        </w:rPr>
        <w:t>a dozei: doza individualizată trebuie titrată, crescând doza în trepte de 1 până la 4 mg pentru a obţine concentraţia plasmatică ţintă pentru un răspuns clinic optim. Eficacitatea, siguranţa, terapiile administrate concomitent şi concentraţia plasmatică cu</w:t>
      </w:r>
      <w:r>
        <w:rPr>
          <w:rFonts w:ascii="Times New Roman" w:hAnsi="Times New Roman"/>
          <w:sz w:val="28"/>
          <w:szCs w:val="28"/>
          <w:lang w:val="ro-RO"/>
        </w:rPr>
        <w:t>rentă trebuie avute în vedere când se planifică titrarea dozei. Titrarea individualizată a dozei se poate baza pe o formulă simplă: noua doză de everolimus = doza curentă x (concentraţia-ţintă/concentraţia curentă).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Odată ce s-a obţinut o doză stabil</w:t>
      </w:r>
      <w:r>
        <w:rPr>
          <w:rFonts w:ascii="Times New Roman" w:hAnsi="Times New Roman"/>
          <w:sz w:val="28"/>
          <w:szCs w:val="28"/>
          <w:lang w:val="ro-RO"/>
        </w:rPr>
        <w:t xml:space="preserve">ă, trebuie să se monitorizeze concentraţiile plasmatice la intervale de 3 până la 6 luni la pacienţii cu suprafaţă corporală în </w:t>
      </w:r>
      <w:r>
        <w:rPr>
          <w:rFonts w:ascii="Times New Roman" w:hAnsi="Times New Roman"/>
          <w:sz w:val="28"/>
          <w:szCs w:val="28"/>
          <w:lang w:val="ro-RO"/>
        </w:rPr>
        <w:lastRenderedPageBreak/>
        <w:t>schimbare sau la intervale de 6 până la 12 luni la pacienţii cu suprafaţă corporală stabilă.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6. Monitorizarea răspunsului la</w:t>
      </w:r>
      <w:r>
        <w:rPr>
          <w:rFonts w:ascii="Times New Roman" w:hAnsi="Times New Roman"/>
          <w:sz w:val="28"/>
          <w:szCs w:val="28"/>
          <w:lang w:val="ro-RO"/>
        </w:rPr>
        <w:t xml:space="preserve">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Tratamentul trebuie continuat atât timp cât se observă un beneficiu clinic sau până când apare un nivel inacceptabil de toxicitate.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7. Criterii de întrerupere 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lipsa eficacităţii clinice (lipsa scăderii sau exacer</w:t>
      </w:r>
      <w:r>
        <w:rPr>
          <w:rFonts w:ascii="Times New Roman" w:hAnsi="Times New Roman"/>
          <w:sz w:val="28"/>
          <w:szCs w:val="28"/>
          <w:lang w:val="ro-RO"/>
        </w:rPr>
        <w:t>barea frecvenţei crizelor epileptice);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reacţii adverse severe sau contraindicaţii;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lipsa de complianţă a pacientului la terapie/monitorizare.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8. Reluare tratament (condiţii): urmând criteriile prezentului protocol.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9. Criterii de includ</w:t>
      </w:r>
      <w:r>
        <w:rPr>
          <w:rFonts w:ascii="Times New Roman" w:hAnsi="Times New Roman"/>
          <w:sz w:val="28"/>
          <w:szCs w:val="28"/>
          <w:lang w:val="ro-RO"/>
        </w:rPr>
        <w:t>ere a pacienţilor care au urmat tratament sponsorizat sau din fonduri proprii, ca tratament de continuare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Pacientul trebuie sa îndeplinească criteriile de includere, dar se va ţine cont de eficacitatea medicamentului în perioada în care a fost </w:t>
      </w:r>
      <w:r>
        <w:rPr>
          <w:rFonts w:ascii="Times New Roman" w:hAnsi="Times New Roman"/>
          <w:sz w:val="28"/>
          <w:szCs w:val="28"/>
          <w:lang w:val="ro-RO"/>
        </w:rPr>
        <w:t>administrat - pacientul va fi tratat cu medicament în cadrul programului dacă acesta s-a dovedit eficient pentru indicaţia pentru care este administrat şi pacientul este stabil.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10. Prescriptori: medici din specialitatea neurologie pediatrică, neurolog</w:t>
      </w:r>
      <w:r>
        <w:rPr>
          <w:rFonts w:ascii="Times New Roman" w:hAnsi="Times New Roman"/>
          <w:sz w:val="28"/>
          <w:szCs w:val="28"/>
          <w:lang w:val="ro-RO"/>
        </w:rPr>
        <w:t>ie. Oprirea tratamentului trebuie raportată de către medicul prescriptor la CAS cu care acesta se află în relaţii contractuale, în termen de maximum 10 zile de la întreruperea tratamentului."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3. Protocolul terapeutic corespunzător poziţiei nr. 223 cod</w:t>
      </w:r>
      <w:r>
        <w:rPr>
          <w:rFonts w:ascii="Times New Roman" w:hAnsi="Times New Roman"/>
          <w:b/>
          <w:bCs/>
          <w:sz w:val="28"/>
          <w:szCs w:val="28"/>
          <w:lang w:val="ro-RO"/>
        </w:rPr>
        <w:t xml:space="preserve"> (L01XC15): DCI OBINUTUZUMAB se modifică şi va avea următorul cuprins:</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pPr>
      <w:r>
        <w:rPr>
          <w:rFonts w:ascii="Times New Roman" w:hAnsi="Times New Roman"/>
          <w:b/>
          <w:bCs/>
          <w:sz w:val="28"/>
          <w:szCs w:val="28"/>
          <w:lang w:val="ro-RO"/>
        </w:rPr>
        <w:t xml:space="preserve">    "DCI: OBINUTUZUMAB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 Indicaţia terapeutică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1. Obinutuzumab administrat în asociere cu clorambucil este indicat pentru tratamentul pacienţilor adulţi cu leucemie limfocita</w:t>
      </w:r>
      <w:r>
        <w:rPr>
          <w:rFonts w:ascii="Times New Roman" w:hAnsi="Times New Roman"/>
          <w:sz w:val="28"/>
          <w:szCs w:val="28"/>
          <w:lang w:val="ro-RO"/>
        </w:rPr>
        <w:t>ră cronică (LLC) netratată anterior şi cu comorbidităţi care nu permit administrarea unui tratament pe bază de fludarabină în doză completă.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2. Obinutuzumab administrat în asociere cu bendamustină, urmat de tratament de întreţinere cu obinutuzumab în m</w:t>
      </w:r>
      <w:r>
        <w:rPr>
          <w:rFonts w:ascii="Times New Roman" w:hAnsi="Times New Roman"/>
          <w:sz w:val="28"/>
          <w:szCs w:val="28"/>
          <w:lang w:val="ro-RO"/>
        </w:rPr>
        <w:t>onoterapie, este indicat pentru tratamentul pacienţilor cu limfom folicular (LF) care nu au răspuns la tratament sau au prezentat progresia bolii în timpul sau în interval de 6 luni după tratamentul cu rituximab sau cu o schemă de tratament care a inclus r</w:t>
      </w:r>
      <w:r>
        <w:rPr>
          <w:rFonts w:ascii="Times New Roman" w:hAnsi="Times New Roman"/>
          <w:sz w:val="28"/>
          <w:szCs w:val="28"/>
          <w:lang w:val="ro-RO"/>
        </w:rPr>
        <w:t>ituximab.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 Criterii de includere în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la pacienţii cu LLC şi indicaţie de iniţiere a tratamentului cărora nu li s-a administrat nicio linie de tratament şi care au alte afecţiuni care induc intoleranţa la administrarea unei doze comp</w:t>
      </w:r>
      <w:r>
        <w:rPr>
          <w:rFonts w:ascii="Times New Roman" w:hAnsi="Times New Roman"/>
          <w:sz w:val="28"/>
          <w:szCs w:val="28"/>
          <w:lang w:val="ro-RO"/>
        </w:rPr>
        <w:t>lete de fludarabină;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la pacienţii cu limfom folicular cărora li s-a administrat cel puţin o linie de tratament cu rituximab, care nu au răspuns la tratament sau care au prezentat progresia bolii în timpul sau în interval de 6 luni după acesta.</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w:t>
      </w:r>
      <w:r>
        <w:rPr>
          <w:rFonts w:ascii="Times New Roman" w:hAnsi="Times New Roman"/>
          <w:b/>
          <w:bCs/>
          <w:sz w:val="28"/>
          <w:szCs w:val="28"/>
          <w:lang w:val="ro-RO"/>
        </w:rPr>
        <w:t>II. Criterii de excludere din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 la obinutuzumab sau la oricare dintre celelalte componente ale acestui medicament;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obinutuzumab nu trebuie administrat în prezenţa unei infecţii active şi trebuie acordată atenţie atun</w:t>
      </w:r>
      <w:r>
        <w:rPr>
          <w:rFonts w:ascii="Times New Roman" w:hAnsi="Times New Roman"/>
          <w:sz w:val="28"/>
          <w:szCs w:val="28"/>
          <w:lang w:val="ro-RO"/>
        </w:rPr>
        <w:t>ci când se ia în considerare utilizarea la pacienţii cu infecţii recurente sau cronice în antecedente;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cu hepatită B activă nu trebuie trataţi cu obinutuzumab;</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obinutuzumab nu trebuie administrat la femeile gravide decât dacă benefici</w:t>
      </w:r>
      <w:r>
        <w:rPr>
          <w:rFonts w:ascii="Times New Roman" w:hAnsi="Times New Roman"/>
          <w:sz w:val="28"/>
          <w:szCs w:val="28"/>
          <w:lang w:val="ro-RO"/>
        </w:rPr>
        <w:t>ul potenţial depăşeşte riscul potenţial;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nu se administrează obinutuzumab copiilor şi adolescenţilor cu vârsta sub 18 ani, deoarece nu există informaţii privind utilizarea sa la aceste grupe de vârstă.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IV.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Doze:</w:t>
      </w:r>
    </w:p>
    <w:p w:rsidR="00D10D16" w:rsidRDefault="00CF7473">
      <w:pPr>
        <w:autoSpaceDE w:val="0"/>
        <w:spacing w:after="0" w:line="240" w:lineRule="auto"/>
      </w:pPr>
      <w:r>
        <w:rPr>
          <w:rFonts w:ascii="Times New Roman" w:hAnsi="Times New Roman"/>
          <w:sz w:val="28"/>
          <w:szCs w:val="28"/>
          <w:lang w:val="ro-RO"/>
        </w:rPr>
        <w:t xml:space="preserve">    - </w:t>
      </w:r>
      <w:r>
        <w:rPr>
          <w:rFonts w:ascii="Times New Roman" w:hAnsi="Times New Roman"/>
          <w:sz w:val="28"/>
          <w:szCs w:val="28"/>
          <w:u w:val="single"/>
          <w:lang w:val="ro-RO"/>
        </w:rPr>
        <w:t>Leucemie limf</w:t>
      </w:r>
      <w:r>
        <w:rPr>
          <w:rFonts w:ascii="Times New Roman" w:hAnsi="Times New Roman"/>
          <w:sz w:val="28"/>
          <w:szCs w:val="28"/>
          <w:u w:val="single"/>
          <w:lang w:val="ro-RO"/>
        </w:rPr>
        <w:t>ocitară cronică (LLC):</w:t>
      </w:r>
      <w:r>
        <w:rPr>
          <w:rFonts w:ascii="Times New Roman" w:hAnsi="Times New Roman"/>
          <w:sz w:val="28"/>
          <w:szCs w:val="28"/>
          <w:lang w:val="ro-RO"/>
        </w:rPr>
        <w:t xml:space="preserve"> se vor administra 6 cicluri de tratament cu obinutuzumab în asociere cu un alt medicament pentru tratamentul cancerului, numit clorambucil. Fiecare ciclu de tratament durează 28 de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ziua 1 din primul ciclu de tratament </w:t>
      </w:r>
      <w:r>
        <w:rPr>
          <w:rFonts w:ascii="Times New Roman" w:hAnsi="Times New Roman"/>
          <w:sz w:val="28"/>
          <w:szCs w:val="28"/>
          <w:lang w:val="ro-RO"/>
        </w:rPr>
        <w:t>se va administra, foarte lent, o parte a primei doze, de 100 miligrame (mg) de obinutuzumab. Se va monitoriza cu atenţie pentru a putea depista reacţiile adverse legate de administrarea perfuziei (RAP).</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Dacă nu apare vreo reacţie legată de administra</w:t>
      </w:r>
      <w:r>
        <w:rPr>
          <w:rFonts w:ascii="Times New Roman" w:hAnsi="Times New Roman"/>
          <w:sz w:val="28"/>
          <w:szCs w:val="28"/>
          <w:lang w:val="ro-RO"/>
        </w:rPr>
        <w:t>rea perfuziei după administrarea acestei mici părţi din prima doză, restul primei doze (900 mg) va fi administrat în aceeaşi zi.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Dacă apare o reacţie legată de administrarea perfuziei după administrarea acestei mici părţi din prima doză, restul prime</w:t>
      </w:r>
      <w:r>
        <w:rPr>
          <w:rFonts w:ascii="Times New Roman" w:hAnsi="Times New Roman"/>
          <w:sz w:val="28"/>
          <w:szCs w:val="28"/>
          <w:lang w:val="ro-RO"/>
        </w:rPr>
        <w:t>i doze va fi administrat în ziua 2.</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O schemă standard de tratament este prezentată mai jos.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Ciclul 1 de tratament - acesta va include trei doze de obinutuzumab în intervalul celor 28 de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1 - o parte a primei doze (100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2 sau ziua 1 (continuare) - restul primei doze, 900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8 - doză completă (1.000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15 - doză completă (1.000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Ciclurile de tratament 2, 3, 4, 5 şi 6 - o singură doză de obinutuzumab în intervalul celor 28 de zi</w:t>
      </w:r>
      <w:r>
        <w:rPr>
          <w:rFonts w:ascii="Times New Roman" w:hAnsi="Times New Roman"/>
          <w:sz w:val="28"/>
          <w:szCs w:val="28"/>
          <w:lang w:val="ro-RO"/>
        </w:rPr>
        <w:t>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1 - doză completă (1.000 mg).</w:t>
      </w:r>
    </w:p>
    <w:p w:rsidR="00D10D16" w:rsidRDefault="00CF7473">
      <w:pPr>
        <w:autoSpaceDE w:val="0"/>
        <w:spacing w:after="0" w:line="240" w:lineRule="auto"/>
      </w:pPr>
      <w:r>
        <w:rPr>
          <w:rFonts w:ascii="Times New Roman" w:hAnsi="Times New Roman"/>
          <w:sz w:val="28"/>
          <w:szCs w:val="28"/>
          <w:lang w:val="ro-RO"/>
        </w:rPr>
        <w:t xml:space="preserve">    - </w:t>
      </w:r>
      <w:r>
        <w:rPr>
          <w:rFonts w:ascii="Times New Roman" w:hAnsi="Times New Roman"/>
          <w:sz w:val="28"/>
          <w:szCs w:val="28"/>
          <w:u w:val="single"/>
          <w:lang w:val="ro-RO"/>
        </w:rPr>
        <w:t>Limfom folicular (LF):</w:t>
      </w:r>
      <w:r>
        <w:rPr>
          <w:rFonts w:ascii="Times New Roman" w:hAnsi="Times New Roman"/>
          <w:sz w:val="28"/>
          <w:szCs w:val="28"/>
          <w:lang w:val="ro-RO"/>
        </w:rPr>
        <w:t xml:space="preserve"> se vor administra 6 cicluri de tratament cu obinutuzumab în asociere cu bendamustină - fiecare ciclu de tratament durează 28 de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Acestea vor fi urmate de o "fază de întreţ</w:t>
      </w:r>
      <w:r>
        <w:rPr>
          <w:rFonts w:ascii="Times New Roman" w:hAnsi="Times New Roman"/>
          <w:sz w:val="28"/>
          <w:szCs w:val="28"/>
          <w:lang w:val="ro-RO"/>
        </w:rPr>
        <w:t>inere" - în acest interval se va administra obinutuzumab în monoterapie la fiecare 2 luni timp de până la 2 ani, în condiţiile în care boala nu avansează.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O schemă standard de tratament este prezentată mai jos: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Terapie de inducţie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Ciclul 1 </w:t>
      </w:r>
      <w:r>
        <w:rPr>
          <w:rFonts w:ascii="Times New Roman" w:hAnsi="Times New Roman"/>
          <w:sz w:val="28"/>
          <w:szCs w:val="28"/>
          <w:lang w:val="ro-RO"/>
        </w:rPr>
        <w:t>de tratament - aceasta va include trei doze de obinutuzumab în intervalul celor 28 de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1 - doză completă (1.000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8 - doză completă (1.000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15 - doză completă (1.000 mg).</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Ciclurile de tratament 2, 3, 4, 5 </w:t>
      </w:r>
      <w:r>
        <w:rPr>
          <w:rFonts w:ascii="Times New Roman" w:hAnsi="Times New Roman"/>
          <w:sz w:val="28"/>
          <w:szCs w:val="28"/>
          <w:lang w:val="ro-RO"/>
        </w:rPr>
        <w:t>şi 6 - o singură doză de obinutuzumab în intervalul celor 28 de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1 - doză completă (1.000 mg).</w:t>
      </w:r>
    </w:p>
    <w:p w:rsidR="00D10D16" w:rsidRDefault="00CF7473">
      <w:pPr>
        <w:autoSpaceDE w:val="0"/>
        <w:spacing w:after="0" w:line="240" w:lineRule="auto"/>
      </w:pPr>
      <w:r>
        <w:rPr>
          <w:rFonts w:ascii="Times New Roman" w:hAnsi="Times New Roman"/>
          <w:sz w:val="28"/>
          <w:szCs w:val="28"/>
          <w:lang w:val="ro-RO"/>
        </w:rPr>
        <w:t xml:space="preserve">    • Bendamustina se administrează în zilele 1 şi 2 ale ciclurilor 1 - 6, în perfuzie intravenoasă în doză de 90 mg/m</w:t>
      </w:r>
      <w:r>
        <w:rPr>
          <w:rFonts w:ascii="Times New Roman" w:hAnsi="Times New Roman"/>
          <w:sz w:val="28"/>
          <w:szCs w:val="28"/>
          <w:vertAlign w:val="superscript"/>
          <w:lang w:val="ro-RO"/>
        </w:rPr>
        <w:t>2</w:t>
      </w:r>
      <w:r>
        <w:rPr>
          <w:rFonts w:ascii="Times New Roman" w:hAnsi="Times New Roman"/>
          <w:sz w:val="28"/>
          <w:szCs w:val="28"/>
          <w:lang w:val="ro-RO"/>
        </w:rPr>
        <w:t>/zi.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Terapie de într</w:t>
      </w:r>
      <w:r>
        <w:rPr>
          <w:rFonts w:ascii="Times New Roman" w:hAnsi="Times New Roman"/>
          <w:sz w:val="28"/>
          <w:szCs w:val="28"/>
          <w:lang w:val="ro-RO"/>
        </w:rPr>
        <w:t>eţinere: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doză completă (1.000 mg) la fiecare 2 luni timp de până la 2 ani, în condiţiile în care boala nu avansează.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Profilaxia şi premedicaţia în cazul sindromului de liză tumorală (SLT)</w:t>
      </w:r>
    </w:p>
    <w:p w:rsidR="00D10D16" w:rsidRDefault="00CF7473">
      <w:pPr>
        <w:autoSpaceDE w:val="0"/>
        <w:spacing w:after="0" w:line="240" w:lineRule="auto"/>
      </w:pPr>
      <w:r>
        <w:rPr>
          <w:rFonts w:ascii="Times New Roman" w:hAnsi="Times New Roman"/>
          <w:sz w:val="28"/>
          <w:szCs w:val="28"/>
          <w:lang w:val="ro-RO"/>
        </w:rPr>
        <w:t xml:space="preserve">    Se consideră că pacienţii cu încărcătură tumorală mar</w:t>
      </w:r>
      <w:r>
        <w:rPr>
          <w:rFonts w:ascii="Times New Roman" w:hAnsi="Times New Roman"/>
          <w:sz w:val="28"/>
          <w:szCs w:val="28"/>
          <w:lang w:val="ro-RO"/>
        </w:rPr>
        <w:t>e şi/sau cu un număr mare de limfocite circulante (&gt; 25 x 10</w:t>
      </w:r>
      <w:r>
        <w:rPr>
          <w:rFonts w:ascii="Times New Roman" w:hAnsi="Times New Roman"/>
          <w:sz w:val="28"/>
          <w:szCs w:val="28"/>
          <w:vertAlign w:val="superscript"/>
          <w:lang w:val="ro-RO"/>
        </w:rPr>
        <w:t>9</w:t>
      </w:r>
      <w:r>
        <w:rPr>
          <w:rFonts w:ascii="Times New Roman" w:hAnsi="Times New Roman"/>
          <w:sz w:val="28"/>
          <w:szCs w:val="28"/>
          <w:lang w:val="ro-RO"/>
        </w:rPr>
        <w:t>/l) şi/sau insuficienţă renală (Cl</w:t>
      </w:r>
      <w:r>
        <w:rPr>
          <w:rFonts w:ascii="Times New Roman" w:hAnsi="Times New Roman"/>
          <w:sz w:val="28"/>
          <w:szCs w:val="28"/>
          <w:vertAlign w:val="subscript"/>
          <w:lang w:val="ro-RO"/>
        </w:rPr>
        <w:t>cr</w:t>
      </w:r>
      <w:r>
        <w:rPr>
          <w:rFonts w:ascii="Times New Roman" w:hAnsi="Times New Roman"/>
          <w:sz w:val="28"/>
          <w:szCs w:val="28"/>
          <w:lang w:val="ro-RO"/>
        </w:rPr>
        <w:t xml:space="preserve"> &lt; 70 ml/min) au risc de SLT şi trebuie să primească tratament profilactic.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Profilaxia: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hidratare corespunzătoare;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uricostatice (de </w:t>
      </w:r>
      <w:r>
        <w:rPr>
          <w:rFonts w:ascii="Times New Roman" w:hAnsi="Times New Roman"/>
          <w:sz w:val="28"/>
          <w:szCs w:val="28"/>
          <w:lang w:val="ro-RO"/>
        </w:rPr>
        <w:t>exemplu, alopurinol); sau</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uratoxidază (de exemplu, rasburicază începând cu 12 - 24 de ore înainte de iniţierea tratamentului.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Profilaxia şi premedicaţia în cazul apariţiei reacţiilor legate de administrarea perfuziei (RAP)</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1, </w:t>
      </w:r>
      <w:r>
        <w:rPr>
          <w:rFonts w:ascii="Times New Roman" w:hAnsi="Times New Roman"/>
          <w:sz w:val="28"/>
          <w:szCs w:val="28"/>
          <w:lang w:val="ro-RO"/>
        </w:rPr>
        <w:t>ciclul 1:</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corticosteroizi i.v.: recomandat la pacienţii cu LF şi obligatoriu pentru pacienţii cu LLC - cu o oră înainte de obinutuzumab (100 mg prednison/prednisolon sau 20 mg dexametazonă sau 80 mg metilprednisolon);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analgezic/antipiretic oral</w:t>
      </w:r>
      <w:r>
        <w:rPr>
          <w:rFonts w:ascii="Times New Roman" w:hAnsi="Times New Roman"/>
          <w:sz w:val="28"/>
          <w:szCs w:val="28"/>
          <w:lang w:val="ro-RO"/>
        </w:rPr>
        <w:t xml:space="preserve"> - cu minimum 30 de minute înainte de obinutuzumab (1.000 mg acetaminofen/paracetamol);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antihistaminic - cu 30 de minute înainte de obinutuzumab (50 mg difenhidramină).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Ziua 2, ciclul 1:</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corticosteroizi i.v. - cu o oră înainte de obinutuz</w:t>
      </w:r>
      <w:r>
        <w:rPr>
          <w:rFonts w:ascii="Times New Roman" w:hAnsi="Times New Roman"/>
          <w:sz w:val="28"/>
          <w:szCs w:val="28"/>
          <w:lang w:val="ro-RO"/>
        </w:rPr>
        <w:t>umab (100 mg prednison/prednisolon sau 20 mg dexametazonă sau 80 mg metilprednisolon);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analgezic/antipiretic oral - cu 30 de minute înainte (1.000 mg acetaminofen/paracetamol);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antihistaminic - cu 30 de minute înainte (50 mg difenhidramină);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w:t>
      </w:r>
      <w:r>
        <w:rPr>
          <w:rFonts w:ascii="Times New Roman" w:hAnsi="Times New Roman"/>
          <w:sz w:val="28"/>
          <w:szCs w:val="28"/>
          <w:lang w:val="ro-RO"/>
        </w:rPr>
        <w:t>ale în urma tratamentului cu obinutuzumab.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 Monitorizarea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Înainte de iniţierea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hemoleucogramă cu formulă leucocitară;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biochimie: funcţia renală (creatinină, uree), valorile serice ale potasiului seric (io</w:t>
      </w:r>
      <w:r>
        <w:rPr>
          <w:rFonts w:ascii="Times New Roman" w:hAnsi="Times New Roman"/>
          <w:sz w:val="28"/>
          <w:szCs w:val="28"/>
          <w:lang w:val="ro-RO"/>
        </w:rPr>
        <w:t>nograma) şi acidului uric, transaminaze (TGO, TGP), fosfataza alcalină;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evaluare cardiologică (EKG, ecocardiografie);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evaluare imagistică (CT toraco-abdomino-pelvin).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Periodic: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hemoleucograma cu formulă leucocitară;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biochimie: f</w:t>
      </w:r>
      <w:r>
        <w:rPr>
          <w:rFonts w:ascii="Times New Roman" w:hAnsi="Times New Roman"/>
          <w:sz w:val="28"/>
          <w:szCs w:val="28"/>
          <w:lang w:val="ro-RO"/>
        </w:rPr>
        <w:t>uncţie renală (creatinină, uree, acid uric), transaminaze (TGO, TGP), fosfataza alcalină, ionogramă: potasiu seric;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reevaluare cardiologică (EKG, ecocardiografie);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evaluare imagistică (CT toraco-abdomino-pelvin).</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 Criterii pentru întrer</w:t>
      </w:r>
      <w:r>
        <w:rPr>
          <w:rFonts w:ascii="Times New Roman" w:hAnsi="Times New Roman"/>
          <w:b/>
          <w:bCs/>
          <w:sz w:val="28"/>
          <w:szCs w:val="28"/>
          <w:lang w:val="ro-RO"/>
        </w:rPr>
        <w:t>uperea tratamentului cu obinutuzumab: lipsa de răspuns sau intoleranţa.</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rPr>
          <w:rFonts w:ascii="Times New Roman" w:hAnsi="Times New Roman"/>
          <w:b/>
          <w:bCs/>
          <w:sz w:val="28"/>
          <w:szCs w:val="28"/>
          <w:lang w:val="ro-RO"/>
        </w:rPr>
      </w:pPr>
      <w:r>
        <w:rPr>
          <w:rFonts w:ascii="Times New Roman" w:hAnsi="Times New Roman"/>
          <w:b/>
          <w:bCs/>
          <w:sz w:val="28"/>
          <w:szCs w:val="28"/>
          <w:lang w:val="ro-RO"/>
        </w:rPr>
        <w:t xml:space="preserve">    VII. Prescriptori: iniţierea şi continuarea tratamentului se fac de către medicii din specialitatea hematologie clinică."</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rPr>
          <w:rFonts w:ascii="Times New Roman" w:hAnsi="Times New Roman"/>
          <w:b/>
          <w:bCs/>
          <w:sz w:val="28"/>
          <w:szCs w:val="28"/>
          <w:lang w:val="ro-RO"/>
        </w:rPr>
      </w:pPr>
      <w:r>
        <w:rPr>
          <w:rFonts w:ascii="Times New Roman" w:hAnsi="Times New Roman"/>
          <w:b/>
          <w:bCs/>
          <w:sz w:val="28"/>
          <w:szCs w:val="28"/>
          <w:lang w:val="ro-RO"/>
        </w:rPr>
        <w:t xml:space="preserve">    4. Protocolul terapeutic corespunzător </w:t>
      </w:r>
      <w:r>
        <w:rPr>
          <w:rFonts w:ascii="Times New Roman" w:hAnsi="Times New Roman"/>
          <w:b/>
          <w:bCs/>
          <w:sz w:val="28"/>
          <w:szCs w:val="28"/>
          <w:lang w:val="ro-RO"/>
        </w:rPr>
        <w:t>poziţiei nr. 233 cod (B06AC02): DCI ICATIBANTUM se modifică şi va avea următorul cuprins:</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pPr>
      <w:r>
        <w:rPr>
          <w:rFonts w:ascii="Times New Roman" w:hAnsi="Times New Roman"/>
          <w:b/>
          <w:bCs/>
          <w:sz w:val="28"/>
          <w:szCs w:val="28"/>
          <w:lang w:val="ro-RO"/>
        </w:rPr>
        <w:t xml:space="preserve">    "DCI: ICATIBANTUM</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 Definiţie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Angioedemul ereditar (AEE) este o boală genetică, rară, debilitantă şi cu potenţial letal. Este cauzat, în majoritatea ca</w:t>
      </w:r>
      <w:r>
        <w:rPr>
          <w:rFonts w:ascii="Times New Roman" w:hAnsi="Times New Roman"/>
          <w:sz w:val="28"/>
          <w:szCs w:val="28"/>
          <w:lang w:val="ro-RO"/>
        </w:rPr>
        <w:t>zurilor, de deficienţa de C1-inhibitor esterază (C1-INH). Clinic, AEE se manifestă prin episoade recurente de edem subcutanat dureros localizat, atacuri dureroase abdominale recurente şi obstrucţie a căilor respiratorii superioare. Atacurile recurente dure</w:t>
      </w:r>
      <w:r>
        <w:rPr>
          <w:rFonts w:ascii="Times New Roman" w:hAnsi="Times New Roman"/>
          <w:sz w:val="28"/>
          <w:szCs w:val="28"/>
          <w:lang w:val="ro-RO"/>
        </w:rPr>
        <w:t>roase abdominale mimează abdomenul acut chirurgical.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Edemul facial se complică în 30% din cazuri cu edem al căilor respiratorii superioare şi risc de asfixiere prin edem laringian. Mortalitatea pacienţilor netrataţi cu AEE este de aproximativ 30%.</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Între atacuri pacientul este asimptomatic. Numărul atacurilor poate varia de la un atac pe an la 2 - 3 atacuri pe lună. Durata atacurilor este de 2 - 5 zile. Calitatea vieţii acestor pacienţi este profund alterată.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 Diagnostic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Diagnosticul de A</w:t>
      </w:r>
      <w:r>
        <w:rPr>
          <w:rFonts w:ascii="Times New Roman" w:hAnsi="Times New Roman"/>
          <w:sz w:val="28"/>
          <w:szCs w:val="28"/>
          <w:lang w:val="ro-RO"/>
        </w:rPr>
        <w:t>EE se suspicionează pe baza anamnezei familiale (pozitivă în 75% din cazuri, 25% fiind mutaţii spontane), a simptomelor caracteristice bolii şi este confirmat prin examenul de laborator.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Diagnosticul tipului 1 şi 2 de AEE se stabileşte prin valori scăz</w:t>
      </w:r>
      <w:r>
        <w:rPr>
          <w:rFonts w:ascii="Times New Roman" w:hAnsi="Times New Roman"/>
          <w:sz w:val="28"/>
          <w:szCs w:val="28"/>
          <w:lang w:val="ro-RO"/>
        </w:rPr>
        <w:t>ute sub 50% faţă de valoarea minimă a normalului a C1-INH activitate. În AEE de tip 1 C1-INH proteina este scăzută, iar în tipul 2 este normală sau crescută. Nu există diferenţe de manifestare clinică între cele două tipuri.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III. Indicaţii terapeutice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Icatibant este un antagonist de receptor de bradikinină B2 indicat pentru tratamentul atacului de angioedem ereditar (AAE) prin deficienţa de C1-inhibitor esterază (C1-INH) la pacienţii cu vârsta de 2 ani şi peste.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IV. Criterii de includere în tr</w:t>
      </w:r>
      <w:r>
        <w:rPr>
          <w:rFonts w:ascii="Times New Roman" w:hAnsi="Times New Roman"/>
          <w:b/>
          <w:bCs/>
          <w:sz w:val="28"/>
          <w:szCs w:val="28"/>
          <w:lang w:val="ro-RO"/>
        </w:rPr>
        <w:t>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programul naţional de tratament cu icatibant al atacurilor de AEE se vor include pacienţii cu vârsta &gt; 2 ani cu diagnosticul confirmat de AEE cu deficienţă de C1-INH de către Centrul de Expertiză/Pilot de AEE şi înregistraţi la Centrul de Ex</w:t>
      </w:r>
      <w:r>
        <w:rPr>
          <w:rFonts w:ascii="Times New Roman" w:hAnsi="Times New Roman"/>
          <w:sz w:val="28"/>
          <w:szCs w:val="28"/>
          <w:lang w:val="ro-RO"/>
        </w:rPr>
        <w:t>pertiză/Pilot de AEE. Scrisoarea medicală eliberată de acesta va fi înnoită anual, cu ocazia vizitei anuale obligatorii.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 Criterii de excludere din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Nu beneficiază de tratament cu icatibant pacienţii cu hipersensibilitate la substanţa a</w:t>
      </w:r>
      <w:r>
        <w:rPr>
          <w:rFonts w:ascii="Times New Roman" w:hAnsi="Times New Roman"/>
          <w:sz w:val="28"/>
          <w:szCs w:val="28"/>
          <w:lang w:val="ro-RO"/>
        </w:rPr>
        <w:t>ctivă sau excipienţii produsului.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Se recomandă precauţie la pacienţii cu boală cardiacă ischemică acută şi accident vascular cerebral recent. Nu există date clinice disponibile privind utilizarea icatibant la gravide şi lăuze. În timpul sarcinii icatib</w:t>
      </w:r>
      <w:r>
        <w:rPr>
          <w:rFonts w:ascii="Times New Roman" w:hAnsi="Times New Roman"/>
          <w:sz w:val="28"/>
          <w:szCs w:val="28"/>
          <w:lang w:val="ro-RO"/>
        </w:rPr>
        <w:t>ant trebuie utilizat doar dacă beneficiul potenţial justifică riscul potenţial pentru făt (de exemplu, pentru tratamentul edemului laringian cu potenţial letal), în absenţa disponibilităţii concentratului de C1-INH.</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Nu se cunoaşte dacă icatibant se exc</w:t>
      </w:r>
      <w:r>
        <w:rPr>
          <w:rFonts w:ascii="Times New Roman" w:hAnsi="Times New Roman"/>
          <w:sz w:val="28"/>
          <w:szCs w:val="28"/>
          <w:lang w:val="ro-RO"/>
        </w:rPr>
        <w:t>retă în laptele matern, dar femeilor care alăptează şi doresc să utilizeze icatibant li se recomandă să nu alăpteze 12 ore după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rarele cazuri în care răspunsul la icatibant nu este satisfăcător şi necesită repetarea exagerată a dozelor, e</w:t>
      </w:r>
      <w:r>
        <w:rPr>
          <w:rFonts w:ascii="Times New Roman" w:hAnsi="Times New Roman"/>
          <w:sz w:val="28"/>
          <w:szCs w:val="28"/>
          <w:lang w:val="ro-RO"/>
        </w:rPr>
        <w:t>ste necesară revizuirea indicaţiei.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 Mod de administrare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Icatibant se administrează subcutanat, de preferinţă în zona abdominală.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Icatibant poate fi autoadministrat sau administrat de către persoana care asigură îngrijirea pacientului, după</w:t>
      </w:r>
      <w:r>
        <w:rPr>
          <w:rFonts w:ascii="Times New Roman" w:hAnsi="Times New Roman"/>
          <w:sz w:val="28"/>
          <w:szCs w:val="28"/>
          <w:lang w:val="ro-RO"/>
        </w:rPr>
        <w:t xml:space="preserve"> instruirea prealabilă de către medic sau asistent medical.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Se recomandă ca prima administrare şi prima autoadministrare să fie efectuată sub supraveghere medicală.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Pacientul va fi instruit cu privire la păstrarea corectă a </w:t>
      </w:r>
      <w:r>
        <w:rPr>
          <w:rFonts w:ascii="Times New Roman" w:hAnsi="Times New Roman"/>
          <w:sz w:val="28"/>
          <w:szCs w:val="28"/>
          <w:lang w:val="ro-RO"/>
        </w:rPr>
        <w:t>medicamentului (între 2 şi 25°C).</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VII. Doze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Adulţi: doza recomandată este de 30 mg icatibant administrat lent subcutanat (o seringă preumplută).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majoritatea cazurilor, o singură injecţie cu icatibant este suficientă pentru </w:t>
      </w:r>
      <w:r>
        <w:rPr>
          <w:rFonts w:ascii="Times New Roman" w:hAnsi="Times New Roman"/>
          <w:sz w:val="28"/>
          <w:szCs w:val="28"/>
          <w:lang w:val="ro-RO"/>
        </w:rPr>
        <w:t>tratamentul unei crize de angioedem ereditar. În cazul în care nu se obţine o ameliorare suficientă sau dacă simptomele reapar, se poate administra o a doua injecţie cu icatibant după 6 ore. Dacă cea de-a doua injecţie nu produce o ameliorare suficientă sa</w:t>
      </w:r>
      <w:r>
        <w:rPr>
          <w:rFonts w:ascii="Times New Roman" w:hAnsi="Times New Roman"/>
          <w:sz w:val="28"/>
          <w:szCs w:val="28"/>
          <w:lang w:val="ro-RO"/>
        </w:rPr>
        <w:t>u se observă o revenire a simptomelor, poate fi administrată o a treia injecţie de icatibant, după un alt interval de 6 ore. În decursul a 24 de ore nu este recomandat să se administreze mai mult de 3 injecţii cu icatibant.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Copii şi adolescenţi: doza r</w:t>
      </w:r>
      <w:r>
        <w:rPr>
          <w:rFonts w:ascii="Times New Roman" w:hAnsi="Times New Roman"/>
          <w:sz w:val="28"/>
          <w:szCs w:val="28"/>
          <w:lang w:val="ro-RO"/>
        </w:rPr>
        <w:t>ecomandată este în funcţie de greutatea corporală, după cum urmează:</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12 - 25 kg     |    10 mg (1,0 ml)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26 - 40 kg     |    15 mg (1,5 ml)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w:t>
      </w:r>
      <w:r>
        <w:rPr>
          <w:rFonts w:ascii="Courier New" w:hAnsi="Courier New" w:cs="Courier New"/>
          <w:lang w:val="ro-RO"/>
        </w:rPr>
        <w:t>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lastRenderedPageBreak/>
        <w:t>|    41 - 50 kg     |    20 mg (2,0 ml)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51 - 65 kg     |    25 mg (2,5 ml)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Peste 65 kg    |    30 mg (3,0 ml)  |</w:t>
      </w:r>
    </w:p>
    <w:p w:rsidR="00D10D16" w:rsidRDefault="00CF7473">
      <w:pPr>
        <w:autoSpaceDE w:val="0"/>
        <w:spacing w:after="0" w:line="240" w:lineRule="auto"/>
      </w:pPr>
      <w:r>
        <w:rPr>
          <w:rFonts w:ascii="Courier New" w:hAnsi="Courier New" w:cs="Courier New"/>
          <w:lang w:val="ro-RO"/>
        </w:rPr>
        <w:t>|_____________</w:t>
      </w:r>
      <w:r>
        <w:rPr>
          <w:rFonts w:ascii="Courier New" w:hAnsi="Courier New" w:cs="Courier New"/>
          <w:lang w:val="ro-RO"/>
        </w:rPr>
        <w:t>______|____________________|</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La copil nu se administrează doza/atac.</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VIII. Monitorizarea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O dată pe an, tratamentul fiecărui pacient va fi vizat de Centrul de Expertiză/Pilot de AEE, prin evaluarea jurnalului pacientului, elibera</w:t>
      </w:r>
      <w:r>
        <w:rPr>
          <w:rFonts w:ascii="Times New Roman" w:hAnsi="Times New Roman"/>
          <w:sz w:val="28"/>
          <w:szCs w:val="28"/>
          <w:lang w:val="ro-RO"/>
        </w:rPr>
        <w:t>t de acesta.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caz de edem de căi respiratorii superioare (laringian) pacientul necesită supraveghere medicală atentă într-un serviciu de urgenţă timp de 24 de ore datorită impredictibilităţii evoluţiei severităţii obstrucţiei.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Intubarea traheală,</w:t>
      </w:r>
      <w:r>
        <w:rPr>
          <w:rFonts w:ascii="Times New Roman" w:hAnsi="Times New Roman"/>
          <w:sz w:val="28"/>
          <w:szCs w:val="28"/>
          <w:lang w:val="ro-RO"/>
        </w:rPr>
        <w:t xml:space="preserve"> traheotomia şi alte tratamente eficace în atacul de AEE (C1-INH esterază umană, recombinantă sau plasmă proaspăt congelată) se iau în considerare în cazul edemului progresiv al căilor aeriene superioare care nu răspunde la icatibant.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cazul în care </w:t>
      </w:r>
      <w:r>
        <w:rPr>
          <w:rFonts w:ascii="Times New Roman" w:hAnsi="Times New Roman"/>
          <w:sz w:val="28"/>
          <w:szCs w:val="28"/>
          <w:lang w:val="ro-RO"/>
        </w:rPr>
        <w:t>simptomele nu se ameliorează suficient sau reapar după autoadministrarea injecţiei, se recomandă ca pacientul să solicite sfatul medicului, iar dozele ulterioare să fie administrate într-o instituţie medicală.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IX. Prescriptori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Icatibant este </w:t>
      </w:r>
      <w:r>
        <w:rPr>
          <w:rFonts w:ascii="Times New Roman" w:hAnsi="Times New Roman"/>
          <w:sz w:val="28"/>
          <w:szCs w:val="28"/>
          <w:lang w:val="ro-RO"/>
        </w:rPr>
        <w:t>prescris de medicii din specialităţile alergologie, dermatologie, pediatrie, medicină internă şi medicii de familie, numai pe baza scrisorii medicale de la Centrul de Expertiză/Pilot de AEE.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Iniţial, pacientului cu mai multe atacuri pe an i se vor pres</w:t>
      </w:r>
      <w:r>
        <w:rPr>
          <w:rFonts w:ascii="Times New Roman" w:hAnsi="Times New Roman"/>
          <w:sz w:val="28"/>
          <w:szCs w:val="28"/>
          <w:lang w:val="ro-RO"/>
        </w:rPr>
        <w:t>crie 3 seringi de icatibant. Trebuie evitată prescrierea de 3 doze pacienţilor cu atacuri foarte rare, pentru a nu rămâne cu medicaţie neutilizată după termenul de expirare.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Prescripţiile ulterioare se vor efectua individualizat prin dovedirea utilizăr</w:t>
      </w:r>
      <w:r>
        <w:rPr>
          <w:rFonts w:ascii="Times New Roman" w:hAnsi="Times New Roman"/>
          <w:sz w:val="28"/>
          <w:szCs w:val="28"/>
          <w:lang w:val="ro-RO"/>
        </w:rPr>
        <w:t>ii primelor două doze corespunzătoare fiecărei prescripţii şi numai după verificarea de către prescriptor a notării de către pacient în jurnalul propriu a datei şi orei administrării, localizării atacului şi lipirea etichetei medicaţiei înaintea fiecărei n</w:t>
      </w:r>
      <w:r>
        <w:rPr>
          <w:rFonts w:ascii="Times New Roman" w:hAnsi="Times New Roman"/>
          <w:sz w:val="28"/>
          <w:szCs w:val="28"/>
          <w:lang w:val="ro-RO"/>
        </w:rPr>
        <w:t>oi prescripţii."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5. Protocolul terapeutic corespunzător poziţiei nr. 253 cod (L01XE33): DCI PALBOCICLIBUM se modifică şi va avea următorul cuprins:</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pPr>
      <w:r>
        <w:rPr>
          <w:rFonts w:ascii="Times New Roman" w:hAnsi="Times New Roman"/>
          <w:b/>
          <w:bCs/>
          <w:sz w:val="28"/>
          <w:szCs w:val="28"/>
          <w:lang w:val="ro-RO"/>
        </w:rPr>
        <w:t xml:space="preserve">    "DCI: PALBOCICLIB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lastRenderedPageBreak/>
        <w:t xml:space="preserve">    </w:t>
      </w:r>
      <w:r>
        <w:rPr>
          <w:rFonts w:ascii="Times New Roman" w:hAnsi="Times New Roman"/>
          <w:b/>
          <w:bCs/>
          <w:sz w:val="28"/>
          <w:szCs w:val="28"/>
          <w:lang w:val="ro-RO"/>
        </w:rPr>
        <w:t>I. Indicaţii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Palbociclib este indicat în tratamentul </w:t>
      </w:r>
      <w:r>
        <w:rPr>
          <w:rFonts w:ascii="Times New Roman" w:hAnsi="Times New Roman"/>
          <w:sz w:val="28"/>
          <w:szCs w:val="28"/>
          <w:lang w:val="ro-RO"/>
        </w:rPr>
        <w:t>cancerului mamar local avansat, recurent sau metastatic, în absenţa "crizei viscerale" simptomatice*) (determinări secundare viscerale, de obicei hepatice şi/sau pulmonare extensive, numeroase, care induc grade variate de insuficienţă de organ; determinări</w:t>
      </w:r>
      <w:r>
        <w:rPr>
          <w:rFonts w:ascii="Times New Roman" w:hAnsi="Times New Roman"/>
          <w:sz w:val="28"/>
          <w:szCs w:val="28"/>
          <w:lang w:val="ro-RO"/>
        </w:rPr>
        <w:t>le secundare viscerale pot fi localizate şi la nivelul altor organe) care pune în pericol prognosticul vital pe termen scurt, cu receptori hormonali pozitivi (estrogenici şi/sau progesteronici) şi expresie negativă pentru receptorul HER2-neu, în următoarel</w:t>
      </w:r>
      <w:r>
        <w:rPr>
          <w:rFonts w:ascii="Times New Roman" w:hAnsi="Times New Roman"/>
          <w:sz w:val="28"/>
          <w:szCs w:val="28"/>
          <w:lang w:val="ro-RO"/>
        </w:rPr>
        <w:t>e situaţii: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asociere cu un inhibitor de aromatază;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asociere cu fulvestrant la pacienţi cărora li s-a administrat tratament endocrin anterior.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La femeile în pre- sau perimenopauză, tratamentul endocrin trebuie combinat cu un agonist al</w:t>
      </w:r>
      <w:r>
        <w:rPr>
          <w:rFonts w:ascii="Times New Roman" w:hAnsi="Times New Roman"/>
          <w:sz w:val="28"/>
          <w:szCs w:val="28"/>
          <w:lang w:val="ro-RO"/>
        </w:rPr>
        <w:t xml:space="preserve"> hormonului de eliberare al hormonului luteinizant (LHRH).</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studiile clinice de înregistrare, criza viscerală a fost definită astfel: paciente cu efuziuni masive necontrolate (pleurale, pericardice, peritoneale), limfangită pulmonară </w:t>
      </w:r>
      <w:r>
        <w:rPr>
          <w:rFonts w:ascii="Times New Roman" w:hAnsi="Times New Roman"/>
          <w:sz w:val="28"/>
          <w:szCs w:val="28"/>
          <w:lang w:val="ro-RO"/>
        </w:rPr>
        <w:t xml:space="preserve">şi implicare hepatică peste 50%. Prescrierea palbociclib la paciente cu afectare metastatică viscerală, în baza prezentului protocol terapeutic, se va face conform deciziei medicului curant. Acesta (medicul curant) va aprecia dacă este oportună utilizarea </w:t>
      </w:r>
      <w:r>
        <w:rPr>
          <w:rFonts w:ascii="Times New Roman" w:hAnsi="Times New Roman"/>
          <w:sz w:val="28"/>
          <w:szCs w:val="28"/>
          <w:lang w:val="ro-RO"/>
        </w:rPr>
        <w:t>combinaţiei hormonoterapie plus palbociclib (+/- bisfosfonaţi pentru leziuni osoase) sau va indica utilizarea chimioterapiei sistemice.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 Criterii de includere în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diagnostic de cancer mamar avansat local, recurent sau metastatic, cu</w:t>
      </w:r>
      <w:r>
        <w:rPr>
          <w:rFonts w:ascii="Times New Roman" w:hAnsi="Times New Roman"/>
          <w:sz w:val="28"/>
          <w:szCs w:val="28"/>
          <w:lang w:val="ro-RO"/>
        </w:rPr>
        <w:t xml:space="preserve"> receptori hormonali (estrogenici şi/sau progesteronici) şi expresie negativă pentru receptorul HER2-neu;</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vârsta peste 18 ani;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indice al statusului de performanţă ECOG 0-2;</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probe biologice care, în opinia medicului curant, permit administ</w:t>
      </w:r>
      <w:r>
        <w:rPr>
          <w:rFonts w:ascii="Times New Roman" w:hAnsi="Times New Roman"/>
          <w:sz w:val="28"/>
          <w:szCs w:val="28"/>
          <w:lang w:val="ro-RO"/>
        </w:rPr>
        <w:t>rarea medicamentului în condiţii de siguranţă.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III. Criterii de excludere din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 la substanţa activă sau la oricare dintre excipienţi;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femei în pre- sau perimenopauză, fără ablaţie ovariană sau fără supresie ovar</w:t>
      </w:r>
      <w:r>
        <w:rPr>
          <w:rFonts w:ascii="Times New Roman" w:hAnsi="Times New Roman"/>
          <w:sz w:val="28"/>
          <w:szCs w:val="28"/>
          <w:lang w:val="ro-RO"/>
        </w:rPr>
        <w:t>iană cu un agonist de LHRH.</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IV.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Palbociclib se administrează pe cale orală. Nu se utilizează concomitent cu preparate conţinând sunătoare.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Doza recomandată este de palbociclib 125 mg o dată pe zi timp de 21 de zile </w:t>
      </w:r>
      <w:r>
        <w:rPr>
          <w:rFonts w:ascii="Times New Roman" w:hAnsi="Times New Roman"/>
          <w:sz w:val="28"/>
          <w:szCs w:val="28"/>
          <w:lang w:val="ro-RO"/>
        </w:rPr>
        <w:t>consecutive, urmate de 7 zile fără tratament (schema 3/1). Tratamentul cu palbociclib trebuie să fie continuat atât timp cât pacientul înregistrează un beneficiu clinic sau până când apare toxicitatea inacceptabilă.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Atunci când este administrat concomi</w:t>
      </w:r>
      <w:r>
        <w:rPr>
          <w:rFonts w:ascii="Times New Roman" w:hAnsi="Times New Roman"/>
          <w:sz w:val="28"/>
          <w:szCs w:val="28"/>
          <w:lang w:val="ro-RO"/>
        </w:rPr>
        <w:t>tent cu palbociclib, doza recomandată de letrozol este de 2,5 mg, administrată pe cale orală, o dată pe zi, în mod continuu pe parcursul ciclului de 28 de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Tratamentul femeilor în pre-/perimenopauză cu palbociclib şi inhibitor de aromatază trebuie</w:t>
      </w:r>
      <w:r>
        <w:rPr>
          <w:rFonts w:ascii="Times New Roman" w:hAnsi="Times New Roman"/>
          <w:sz w:val="28"/>
          <w:szCs w:val="28"/>
          <w:lang w:val="ro-RO"/>
        </w:rPr>
        <w:t xml:space="preserve"> întotdeauna combinat cu un agonist al LHRH.</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Atunci când este administrat concomitent cu palbociclib, doza recomandată de fulvestrant este de 500 mg, administrată intramuscular în zilele 1, 15, 29 şi ulterior o dată pe lună. Înainte de a începe tratame</w:t>
      </w:r>
      <w:r>
        <w:rPr>
          <w:rFonts w:ascii="Times New Roman" w:hAnsi="Times New Roman"/>
          <w:sz w:val="28"/>
          <w:szCs w:val="28"/>
          <w:lang w:val="ro-RO"/>
        </w:rPr>
        <w:t>ntul cu combinaţia palbociclib plus fulvestrant şi pe parcursul acesteia, femeile la pre/perimenopauză trebuie să fie tratate cu agonişti de LHRH. Modificările dozei de palbociclib - conform tabelelor din Rezumatul caracteristicilor produsului (RCP)</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w:t>
      </w:r>
      <w:r>
        <w:rPr>
          <w:rFonts w:ascii="Times New Roman" w:hAnsi="Times New Roman"/>
          <w:b/>
          <w:bCs/>
          <w:sz w:val="28"/>
          <w:szCs w:val="28"/>
          <w:lang w:val="ro-RO"/>
        </w:rPr>
        <w:t>. Monitorizarea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Hemograma completă trebuie monitorizată anterior începerii tratamentului cu palbociclib şi la începutul fiecărui ciclu, precum şi în ziua 14 din primele 2 cicluri.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Răspunsul terapeutic se va evalua prin metode clin</w:t>
      </w:r>
      <w:r>
        <w:rPr>
          <w:rFonts w:ascii="Times New Roman" w:hAnsi="Times New Roman"/>
          <w:sz w:val="28"/>
          <w:szCs w:val="28"/>
          <w:lang w:val="ro-RO"/>
        </w:rPr>
        <w:t>ice, imagistice (CT, RMN) la intervale regulate.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Este recomandată întreruperea dozei, reducerea dozei sau întârziere în începerea ciclurilor de tratament pentru pacienţii care dezvoltă neutropenie de grad 3 sau 4.</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trebuie monitorizaţi</w:t>
      </w:r>
      <w:r>
        <w:rPr>
          <w:rFonts w:ascii="Times New Roman" w:hAnsi="Times New Roman"/>
          <w:sz w:val="28"/>
          <w:szCs w:val="28"/>
          <w:lang w:val="ro-RO"/>
        </w:rPr>
        <w:t xml:space="preserve"> pentru semne şi simptome de infecţie deoarece palbociclib are proprietăţi mielosupresive.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 Întreruperea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progresia bolii (obiectivat imagistic şi/sau clinic);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toxicităţi inacceptabile;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dacă din cauza </w:t>
      </w:r>
      <w:r>
        <w:rPr>
          <w:rFonts w:ascii="Times New Roman" w:hAnsi="Times New Roman"/>
          <w:sz w:val="28"/>
          <w:szCs w:val="28"/>
          <w:lang w:val="ro-RO"/>
        </w:rPr>
        <w:t>reacţiilor adverse este necesară reducerea dozei sub 75 mg/zi.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VII. Prescriptori:</w:t>
      </w:r>
      <w:r>
        <w:rPr>
          <w:rFonts w:ascii="Times New Roman" w:hAnsi="Times New Roman"/>
          <w:sz w:val="28"/>
          <w:szCs w:val="28"/>
          <w:lang w:val="ro-RO"/>
        </w:rPr>
        <w:t xml:space="preserve"> iniţierea se face de către medicii din specialitatea oncologie medicală. Continuarea tratamentului se face de către medicul oncolog sau pe baza scrisorii medicale de căt</w:t>
      </w:r>
      <w:r>
        <w:rPr>
          <w:rFonts w:ascii="Times New Roman" w:hAnsi="Times New Roman"/>
          <w:sz w:val="28"/>
          <w:szCs w:val="28"/>
          <w:lang w:val="ro-RO"/>
        </w:rPr>
        <w:t>re medicii de familie desemnaţi."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6. Protocolul terapeutic corespunzător poziţiei nr. 255 cod (L01XX52): DCI VENETOCLAX se modifică şi va avea următorul cuprins:</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rPr>
          <w:rFonts w:ascii="Times New Roman" w:hAnsi="Times New Roman"/>
          <w:b/>
          <w:bCs/>
          <w:sz w:val="28"/>
          <w:szCs w:val="28"/>
          <w:lang w:val="ro-RO"/>
        </w:rPr>
      </w:pPr>
      <w:r>
        <w:rPr>
          <w:rFonts w:ascii="Times New Roman" w:hAnsi="Times New Roman"/>
          <w:b/>
          <w:bCs/>
          <w:sz w:val="28"/>
          <w:szCs w:val="28"/>
          <w:lang w:val="ro-RO"/>
        </w:rPr>
        <w:t xml:space="preserve">    "DCI: VENETOCLAX</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pPr>
      <w:r>
        <w:rPr>
          <w:rFonts w:ascii="Times New Roman" w:hAnsi="Times New Roman"/>
          <w:b/>
          <w:bCs/>
          <w:sz w:val="28"/>
          <w:szCs w:val="28"/>
          <w:lang w:val="ro-RO"/>
        </w:rPr>
        <w:t xml:space="preserve">    Indicaţie: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Leucemia limfocitară cronică (LLC)</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Crite</w:t>
      </w:r>
      <w:r>
        <w:rPr>
          <w:rFonts w:ascii="Times New Roman" w:hAnsi="Times New Roman"/>
          <w:b/>
          <w:bCs/>
          <w:sz w:val="28"/>
          <w:szCs w:val="28"/>
          <w:lang w:val="ro-RO"/>
        </w:rPr>
        <w:t>rii de includere în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adulţi (peste 18 ani) cu leucemie limfatică cronică (LLC) - în monoterapie: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 în prezenţa deleţiei 17p sau a mutaţiei TP53 - pacienţi adulţi care nu sunt eligibili pentru sau au avut eşec la un inhibitor a</w:t>
      </w:r>
      <w:r>
        <w:rPr>
          <w:rFonts w:ascii="Times New Roman" w:hAnsi="Times New Roman"/>
          <w:sz w:val="28"/>
          <w:szCs w:val="28"/>
          <w:lang w:val="ro-RO"/>
        </w:rPr>
        <w:t>l căii de semnalizare a receptorilor celulelor B;</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b) în absenţa deleţiei 17p sau a mutaţiei TP53 - pacienţi care au avut eşec atât la chimioterapie şi imunoterapie, cât şi la tratamentul cu un inhibitor al căii de semnalizare a receptorilor </w:t>
      </w:r>
      <w:r>
        <w:rPr>
          <w:rFonts w:ascii="Times New Roman" w:hAnsi="Times New Roman"/>
          <w:sz w:val="28"/>
          <w:szCs w:val="28"/>
          <w:lang w:val="ro-RO"/>
        </w:rPr>
        <w:t>celulelor B;</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 adulţi cu leucemie limfocitară cronică (LLC) care au primit anterior cel puţin un tratament - în asociere cu rituximab.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Criterii de excludere din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 la substanţa activă sau la oricare dintre</w:t>
      </w:r>
      <w:r>
        <w:rPr>
          <w:rFonts w:ascii="Times New Roman" w:hAnsi="Times New Roman"/>
          <w:sz w:val="28"/>
          <w:szCs w:val="28"/>
          <w:lang w:val="ro-RO"/>
        </w:rPr>
        <w:t xml:space="preserve"> excipienţi;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utilizarea concomitentă a venetoclax cu inhibitori puternici ai CYP3A la iniţierea tratamentului şi în timpul perioadei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utilizarea concomitentă a venetoclax cu produsele care conţin sunătoare;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sarcina şi </w:t>
      </w:r>
      <w:r>
        <w:rPr>
          <w:rFonts w:ascii="Times New Roman" w:hAnsi="Times New Roman"/>
          <w:sz w:val="28"/>
          <w:szCs w:val="28"/>
          <w:lang w:val="ro-RO"/>
        </w:rPr>
        <w:t>alăptarea;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insuficienţa hepatică severă.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Tratamentul cu venetoclax trebuie iniţiat sub îndrumarea şi supravegherea unui medic cu experienţă în tratamentul bolilor hemato-oncologice.</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Doza recomandată:</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xml:space="preserve">Calendarul de </w:t>
      </w:r>
      <w:r>
        <w:rPr>
          <w:rFonts w:ascii="Times New Roman" w:hAnsi="Times New Roman"/>
          <w:sz w:val="28"/>
          <w:szCs w:val="28"/>
          <w:u w:val="single"/>
          <w:lang w:val="ro-RO"/>
        </w:rPr>
        <w:t>titrare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Doza iniţială de venetoclax este de 20 mg o dată pe zi timp de 7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Doza trebuie crescută treptat pe durata a 5 săptămâni până la atingerea dozei zilnice recomandate de 400 mg conform indicaţiilor din tabelul 1. Schema de ajustar</w:t>
      </w:r>
      <w:r>
        <w:rPr>
          <w:rFonts w:ascii="Times New Roman" w:hAnsi="Times New Roman"/>
          <w:sz w:val="28"/>
          <w:szCs w:val="28"/>
          <w:lang w:val="ro-RO"/>
        </w:rPr>
        <w:t>e a dozei cu durata de 5 săptămâni este concepută pentru scăderea treptată a încărcăturii tumorale şi a riscului de apariţie a sindromului de liză tumorală (SLT).</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Tabelul 1: Calendarul creşterii dozei</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Săptămâna  |</w:t>
      </w:r>
      <w:r>
        <w:rPr>
          <w:rFonts w:ascii="Courier New" w:hAnsi="Courier New" w:cs="Courier New"/>
          <w:lang w:val="ro-RO"/>
        </w:rPr>
        <w:t xml:space="preserve"> Doza zilnică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de venetoclax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1       |     20 mg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lastRenderedPageBreak/>
        <w:t>|_______________|_______________|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2       |     50 mg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3       |     100 mg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w:t>
      </w:r>
      <w:r>
        <w:rPr>
          <w:rFonts w:ascii="Courier New" w:hAnsi="Courier New" w:cs="Courier New"/>
          <w:lang w:val="ro-RO"/>
        </w:rPr>
        <w:t>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4       |     200 mg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5 şi ulterior |     400 mg    |</w:t>
      </w:r>
    </w:p>
    <w:p w:rsidR="00D10D16" w:rsidRDefault="00CF7473">
      <w:pPr>
        <w:autoSpaceDE w:val="0"/>
        <w:spacing w:after="0" w:line="240" w:lineRule="auto"/>
      </w:pPr>
      <w:r>
        <w:rPr>
          <w:rFonts w:ascii="Courier New" w:hAnsi="Courier New" w:cs="Courier New"/>
          <w:lang w:val="ro-RO"/>
        </w:rPr>
        <w:t>|_______________|_______________|</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Doza după titrare pentru venetoclax administrat în asociere cu rituximab</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Doza recomandată pentru venetoclax administrat în asociere cu rituximab este de 400 mg o dată pe zi.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Rituximab trebuie administrat după ce pacientul a terminat calendarul de titrare a dozei şi a primit doza zilnică recomandată pentru venetoclax de 400 </w:t>
      </w:r>
      <w:r>
        <w:rPr>
          <w:rFonts w:ascii="Times New Roman" w:hAnsi="Times New Roman"/>
          <w:sz w:val="28"/>
          <w:szCs w:val="28"/>
          <w:lang w:val="ro-RO"/>
        </w:rPr>
        <w:t>mg pentru 7 zile.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Venetoclax trebuie administrat timp de 24 luni din ciclul 1 ziua 1 pentru rituximab.</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Doza după titrare pentru venetoclax în monoterapie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Doza recomandată pentru venetoclax este de 400 mg o dată pe zi. Tratamentul trebuie contin</w:t>
      </w:r>
      <w:r>
        <w:rPr>
          <w:rFonts w:ascii="Times New Roman" w:hAnsi="Times New Roman"/>
          <w:sz w:val="28"/>
          <w:szCs w:val="28"/>
          <w:lang w:val="ro-RO"/>
        </w:rPr>
        <w:t>uat până la progresia bolii sau până când nu mai este tolerat de către pacient.</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Mod de administrare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Comprimatele filmate de venetoclax se înghit întregi, cu apă, aproximativ la aceeaşi oră în fiecare zi.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Comprimatele trebuie să fie luate cu</w:t>
      </w:r>
      <w:r>
        <w:rPr>
          <w:rFonts w:ascii="Times New Roman" w:hAnsi="Times New Roman"/>
          <w:sz w:val="28"/>
          <w:szCs w:val="28"/>
          <w:lang w:val="ro-RO"/>
        </w:rPr>
        <w:t xml:space="preserve"> alimente pentru a evita riscul apariţiei ineficacităţii.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Comprimatele nu trebuie mestecate, zdrobite sau rupte înainte să fie înghiţite.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timpul perioadei de ajustare a dozei, venetoclax trebuie administrat dimineaţa pentru a permite </w:t>
      </w:r>
      <w:r>
        <w:rPr>
          <w:rFonts w:ascii="Times New Roman" w:hAnsi="Times New Roman"/>
          <w:sz w:val="28"/>
          <w:szCs w:val="28"/>
          <w:lang w:val="ro-RO"/>
        </w:rPr>
        <w:t>monitorizarea analizelor de laborator.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timpul tratamentului cu venetoclax trebuie să se evite consumul de grapefruit, de portocale de Sevilla şi de fruct stea (carambola).</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Prevenirea apariţiei sindromului de liză tumorală: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Venetoclax p</w:t>
      </w:r>
      <w:r>
        <w:rPr>
          <w:rFonts w:ascii="Times New Roman" w:hAnsi="Times New Roman"/>
          <w:sz w:val="28"/>
          <w:szCs w:val="28"/>
          <w:lang w:val="ro-RO"/>
        </w:rPr>
        <w:t>oate provoca scăderea rapidă a tumorii asociindu-se cu riscul de SLT în faza iniţială de ajustare a dozei cu durata de 5 săptămâni.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Modificări ale valorilor electroliţilor sugestive pentru SLT, ce necesită tratament prompt, pot să apară încă de la 6 </w:t>
      </w:r>
      <w:r>
        <w:rPr>
          <w:rFonts w:ascii="Times New Roman" w:hAnsi="Times New Roman"/>
          <w:sz w:val="28"/>
          <w:szCs w:val="28"/>
          <w:lang w:val="ro-RO"/>
        </w:rPr>
        <w:t>până la 8 ore după administrarea primei doze de venetoclax şi la fiecare creştere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Riscul de apariţie a SLT este un proces continuu la care contribuie mai mulţi factori:</w:t>
      </w:r>
    </w:p>
    <w:p w:rsidR="00D10D16" w:rsidRDefault="00CF7473">
      <w:pPr>
        <w:autoSpaceDE w:val="0"/>
        <w:spacing w:after="0" w:line="240" w:lineRule="auto"/>
      </w:pPr>
      <w:r>
        <w:rPr>
          <w:rFonts w:ascii="Times New Roman" w:hAnsi="Times New Roman"/>
          <w:sz w:val="28"/>
          <w:szCs w:val="28"/>
          <w:lang w:val="ro-RO"/>
        </w:rPr>
        <w:lastRenderedPageBreak/>
        <w:t xml:space="preserve">    - încărcătura tumorală semnificativă [de exemplu: orice ganglion cu </w:t>
      </w:r>
      <w:r>
        <w:rPr>
          <w:rFonts w:ascii="Times New Roman" w:hAnsi="Times New Roman"/>
          <w:sz w:val="28"/>
          <w:szCs w:val="28"/>
          <w:lang w:val="ro-RO"/>
        </w:rPr>
        <w:t>diametrul &gt;/= 5 cm sau număr absolut de limfocite (NAL) &gt;/=25 x 10</w:t>
      </w:r>
      <w:r>
        <w:rPr>
          <w:rFonts w:ascii="Times New Roman" w:hAnsi="Times New Roman"/>
          <w:sz w:val="28"/>
          <w:szCs w:val="28"/>
          <w:vertAlign w:val="superscript"/>
          <w:lang w:val="ro-RO"/>
        </w:rPr>
        <w:t>9</w:t>
      </w:r>
      <w:r>
        <w:rPr>
          <w:rFonts w:ascii="Times New Roman" w:hAnsi="Times New Roman"/>
          <w:sz w:val="28"/>
          <w:szCs w:val="28"/>
          <w:lang w:val="ro-RO"/>
        </w:rPr>
        <w:t>/l*)] creşte riscul apariţiei SLT în momentul iniţierii tratamentului cu venetoclax;</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funcţia renală diminuată [clearance al creatininei (ClCr) &lt; 80 ml/min contribuie la creşterea supl</w:t>
      </w:r>
      <w:r>
        <w:rPr>
          <w:rFonts w:ascii="Times New Roman" w:hAnsi="Times New Roman"/>
          <w:sz w:val="28"/>
          <w:szCs w:val="28"/>
          <w:lang w:val="ro-RO"/>
        </w:rPr>
        <w:t>imentară a riscului].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w:t>
      </w:r>
    </w:p>
    <w:p w:rsidR="00D10D16" w:rsidRDefault="00CF7473">
      <w:pPr>
        <w:autoSpaceDE w:val="0"/>
        <w:spacing w:after="0" w:line="240" w:lineRule="auto"/>
      </w:pPr>
      <w:r>
        <w:rPr>
          <w:rFonts w:ascii="Times New Roman" w:hAnsi="Times New Roman"/>
          <w:sz w:val="28"/>
          <w:szCs w:val="28"/>
          <w:lang w:val="ro-RO"/>
        </w:rPr>
        <w:t xml:space="preserve">    *) În Monitorul Oficial al României, Partea I, nr. 610 din 24 iulie 2019, sintagma "25 x 10</w:t>
      </w:r>
      <w:r>
        <w:rPr>
          <w:rFonts w:ascii="Times New Roman" w:hAnsi="Times New Roman"/>
          <w:sz w:val="28"/>
          <w:szCs w:val="28"/>
          <w:vertAlign w:val="superscript"/>
          <w:lang w:val="ro-RO"/>
        </w:rPr>
        <w:t>9</w:t>
      </w:r>
      <w:r>
        <w:rPr>
          <w:rFonts w:ascii="Times New Roman" w:hAnsi="Times New Roman"/>
          <w:sz w:val="28"/>
          <w:szCs w:val="28"/>
          <w:lang w:val="ro-RO"/>
        </w:rPr>
        <w:t>/l" era indicată, în mod eronat, ca fiind "25 x 109/l".</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Este posibil ca riscul să scadă odată cu scăderea încărcăturii</w:t>
      </w:r>
      <w:r>
        <w:rPr>
          <w:rFonts w:ascii="Times New Roman" w:hAnsi="Times New Roman"/>
          <w:sz w:val="28"/>
          <w:szCs w:val="28"/>
          <w:lang w:val="ro-RO"/>
        </w:rPr>
        <w:t xml:space="preserve"> tumorale ca urmare a tratamentului cu venetoclax.</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Măsuri: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evaluarea încărcăturii tumorale înaintea începerii tratamentului cu venetoclax, inclusiv radiologic (de exemplu: computer tomograf);</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teste biochimice sanguine: potasiu, acid </w:t>
      </w:r>
      <w:r>
        <w:rPr>
          <w:rFonts w:ascii="Times New Roman" w:hAnsi="Times New Roman"/>
          <w:sz w:val="28"/>
          <w:szCs w:val="28"/>
          <w:lang w:val="ro-RO"/>
        </w:rPr>
        <w:t>uric, fosfor, calciu, creatinină; corectarea valorilor anormale biochimice preexistente;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hidratare: pacienţii trebuie să consume 1,5 - 2 litri de apă zilnic, începând cu 2 zile înainte, în zilele iniţierii tratamentului, precum şi la fiecare creştere</w:t>
      </w:r>
      <w:r>
        <w:rPr>
          <w:rFonts w:ascii="Times New Roman" w:hAnsi="Times New Roman"/>
          <w:sz w:val="28"/>
          <w:szCs w:val="28"/>
          <w:lang w:val="ro-RO"/>
        </w:rPr>
        <w:t xml:space="preserve"> ulterioară a dozei. În funcţie de starea clinică şi de riscul general de SLT, precum şi în cazul pacienţilor ce nu se pot hidrata oral se vor administra lichide intravenos.</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medicamente care scad acidul uric. La pacienţii cu concentraţii crescute ale</w:t>
      </w:r>
      <w:r>
        <w:rPr>
          <w:rFonts w:ascii="Times New Roman" w:hAnsi="Times New Roman"/>
          <w:sz w:val="28"/>
          <w:szCs w:val="28"/>
          <w:lang w:val="ro-RO"/>
        </w:rPr>
        <w:t xml:space="preserve"> acidului uric sau la cei care au risc de SLT, medicamentele care scad acidul uric trebuie administrate cu 2 până la 3 zile înainte de iniţierea tratamentului cu venetoclax şi pot fi continuate în perioada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analize de laborator.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a) înainte de administrarea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efectuarea testelor biochimice sanguine tuturor pacienţilor înainte de administrarea dozei iniţiale, în vederea evaluării funcţiei renale şi a corectării valorilor anormale preexistente;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testele biochimice </w:t>
      </w:r>
      <w:r>
        <w:rPr>
          <w:rFonts w:ascii="Times New Roman" w:hAnsi="Times New Roman"/>
          <w:sz w:val="28"/>
          <w:szCs w:val="28"/>
          <w:lang w:val="ro-RO"/>
        </w:rPr>
        <w:t>sanguine trebuie reluate înainte de fiecare creştere ulterioară a dozei pe durata perioadei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b) după administrarea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pacienţii cu risc de apariţie a SLT, testele biochimice sanguine trebuie monitorizate la 6 până l</w:t>
      </w:r>
      <w:r>
        <w:rPr>
          <w:rFonts w:ascii="Times New Roman" w:hAnsi="Times New Roman"/>
          <w:sz w:val="28"/>
          <w:szCs w:val="28"/>
          <w:lang w:val="ro-RO"/>
        </w:rPr>
        <w:t>a 8 ore şi la 24 de ore după prima doză de venetoclax administrată;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dezechilibrele electrolitice trebuie corectate imediat;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nu se va administra următoarea doză de venetoclax decât după evaluarea testelor biochimice sanguine efectuate la 24 de o</w:t>
      </w:r>
      <w:r>
        <w:rPr>
          <w:rFonts w:ascii="Times New Roman" w:hAnsi="Times New Roman"/>
          <w:sz w:val="28"/>
          <w:szCs w:val="28"/>
          <w:lang w:val="ro-RO"/>
        </w:rPr>
        <w:t>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acelaşi program de monitorizare se va efectua la iniţierea dozei de 50 mg şi după aceea la pacienţii care continuă să fie cu risc la creşterea ulterioară a dozei;</w:t>
      </w:r>
    </w:p>
    <w:p w:rsidR="00D10D16" w:rsidRDefault="00CF7473">
      <w:pPr>
        <w:autoSpaceDE w:val="0"/>
        <w:spacing w:after="0" w:line="240" w:lineRule="auto"/>
      </w:pPr>
      <w:r>
        <w:rPr>
          <w:rFonts w:ascii="Times New Roman" w:hAnsi="Times New Roman"/>
          <w:sz w:val="28"/>
          <w:szCs w:val="28"/>
          <w:lang w:val="ro-RO"/>
        </w:rPr>
        <w:lastRenderedPageBreak/>
        <w:t xml:space="preserve">    - </w:t>
      </w:r>
      <w:r>
        <w:rPr>
          <w:rFonts w:ascii="Times New Roman" w:hAnsi="Times New Roman"/>
          <w:sz w:val="28"/>
          <w:szCs w:val="28"/>
          <w:u w:val="single"/>
          <w:lang w:val="ro-RO"/>
        </w:rPr>
        <w:t>spitalizare:</w:t>
      </w:r>
      <w:r>
        <w:rPr>
          <w:rFonts w:ascii="Times New Roman" w:hAnsi="Times New Roman"/>
          <w:sz w:val="28"/>
          <w:szCs w:val="28"/>
          <w:lang w:val="ro-RO"/>
        </w:rPr>
        <w:t xml:space="preserve"> în funcţie de evaluarea medicului, unii pacienţi, mai ales cei c</w:t>
      </w:r>
      <w:r>
        <w:rPr>
          <w:rFonts w:ascii="Times New Roman" w:hAnsi="Times New Roman"/>
          <w:sz w:val="28"/>
          <w:szCs w:val="28"/>
          <w:lang w:val="ro-RO"/>
        </w:rPr>
        <w:t>u risc crescut de apariţie a SLT, pot necesita internare în ziua în care se administrează prima doză de venetoclax pentru a se asigura profilaxie şi monitorizare mai susţinute pe durata primelor 24 de ore. În urma reevaluării riscului trebuie să se ia în c</w:t>
      </w:r>
      <w:r>
        <w:rPr>
          <w:rFonts w:ascii="Times New Roman" w:hAnsi="Times New Roman"/>
          <w:sz w:val="28"/>
          <w:szCs w:val="28"/>
          <w:lang w:val="ro-RO"/>
        </w:rPr>
        <w:t>onsiderare spitalizarea şi în cazul următoarelor creşteri ale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Ajustarea dozelor: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a) Ajustarea dozelor în cazul sindromului de liză tumorală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Când un pacient prezintă modificări ale testelor biochimice sanguine sugestive pentru SLT, do</w:t>
      </w:r>
      <w:r>
        <w:rPr>
          <w:rFonts w:ascii="Times New Roman" w:hAnsi="Times New Roman"/>
          <w:sz w:val="28"/>
          <w:szCs w:val="28"/>
          <w:lang w:val="ro-RO"/>
        </w:rPr>
        <w:t>za de venetoclax din ziua următoare trebuie oprită.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Dacă acestea se normalizează în interval de 24 până la 48 de ore de la ultima doză, tratamentul cu venetoclax poate fi reluat cu aceeaşi doză.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cazul evenimentelor de SLT </w:t>
      </w:r>
      <w:r>
        <w:rPr>
          <w:rFonts w:ascii="Times New Roman" w:hAnsi="Times New Roman"/>
          <w:sz w:val="28"/>
          <w:szCs w:val="28"/>
          <w:lang w:val="ro-RO"/>
        </w:rPr>
        <w:t>manifestat clinic sau al modificărilor testelor biochimice sanguine care necesită un interval de peste 48 de ore pentru normalizare, tratamentul trebuie să se reia cu o doză mai mică (vezi tabel).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cazul reluării tratamentului cu venetoclax după în</w:t>
      </w:r>
      <w:r>
        <w:rPr>
          <w:rFonts w:ascii="Times New Roman" w:hAnsi="Times New Roman"/>
          <w:sz w:val="28"/>
          <w:szCs w:val="28"/>
          <w:lang w:val="ro-RO"/>
        </w:rPr>
        <w:t>trerupere din cauza SLT, trebuie să se respecte instrucţiunile pentru prevenirea sindromului de liză tumorală.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b) Ajustarea dozelor în cazul altor tipuri de toxicitate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Tratamentul cu venetoclax trebuie oprit în cazul apariţiei: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oricărui tip</w:t>
      </w:r>
      <w:r>
        <w:rPr>
          <w:rFonts w:ascii="Times New Roman" w:hAnsi="Times New Roman"/>
          <w:sz w:val="28"/>
          <w:szCs w:val="28"/>
          <w:lang w:val="ro-RO"/>
        </w:rPr>
        <w:t xml:space="preserve"> de toxicitate de grad 3 sau 4 de alt tip decât cel hematologic;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neutropeniei de grad 3 sau 4 însoţite de infecţie sau febră; sau</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toxicităţii hematologice de grad 4, cu excepţia limfopeniei.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După remiterea evenimentului de toxicitate la g</w:t>
      </w:r>
      <w:r>
        <w:rPr>
          <w:rFonts w:ascii="Times New Roman" w:hAnsi="Times New Roman"/>
          <w:sz w:val="28"/>
          <w:szCs w:val="28"/>
          <w:lang w:val="ro-RO"/>
        </w:rPr>
        <w:t>radul 1 sau până la nivelul iniţial (recuperare), tratamentul cu venetoclax poate fi reluat cu aceeaşi doză.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cazul în care evenimentul de toxicitate apare din nou şi în cazul oricărui episod ulterior, după remiterea evenimentului, atunci când se r</w:t>
      </w:r>
      <w:r>
        <w:rPr>
          <w:rFonts w:ascii="Times New Roman" w:hAnsi="Times New Roman"/>
          <w:sz w:val="28"/>
          <w:szCs w:val="28"/>
          <w:lang w:val="ro-RO"/>
        </w:rPr>
        <w:t>eia tratamentul cu venetoclax trebuie să se respecte recomandările privind reducerea dozei din tabel. Medicul poate să decidă o scădere mai mare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pacienţii care necesită o scădere a dozei la mai puţin de 100 mg pentru o perioadă mai ma</w:t>
      </w:r>
      <w:r>
        <w:rPr>
          <w:rFonts w:ascii="Times New Roman" w:hAnsi="Times New Roman"/>
          <w:sz w:val="28"/>
          <w:szCs w:val="28"/>
          <w:lang w:val="ro-RO"/>
        </w:rPr>
        <w:t>re de 2 săptămâni trebuie să se ia în considerare întreruperea tratamentului cu venetoclax.</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La pacienţii al căror tratament a fost întrerupt mai mult de 1 săptămână în primele 5 săptămâni de ajustare a dozei sau mai mult de 2 săptămâni la o doză </w:t>
      </w:r>
      <w:r>
        <w:rPr>
          <w:rFonts w:ascii="Times New Roman" w:hAnsi="Times New Roman"/>
          <w:sz w:val="28"/>
          <w:szCs w:val="28"/>
          <w:lang w:val="ro-RO"/>
        </w:rPr>
        <w:t>zilnică de 400 mg trebuie reevaluat riscul de apariţie a SLT pentru a se stabili dacă este necesară reluarea tratamentului cu o doză mai mică.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Tabel: Ajustarea dozei în cazul SLT şi al altor tipuri de toxicitate</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w:t>
      </w:r>
      <w:r>
        <w:rPr>
          <w:rFonts w:ascii="Courier New" w:hAnsi="Courier New" w:cs="Courier New"/>
          <w:lang w:val="ro-RO"/>
        </w:rPr>
        <w:t>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Doza la momentul   |    Doza la reluarea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întreruperii       |    tratamentului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(mg)          |         (mg*a))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400          |          300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lastRenderedPageBreak/>
        <w:t>|__</w:t>
      </w:r>
      <w:r>
        <w:rPr>
          <w:rFonts w:ascii="Courier New" w:hAnsi="Courier New" w:cs="Courier New"/>
          <w:lang w:val="ro-RO"/>
        </w:rPr>
        <w:t>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300          |          200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200          |          100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100  </w:t>
      </w:r>
      <w:r>
        <w:rPr>
          <w:rFonts w:ascii="Courier New" w:hAnsi="Courier New" w:cs="Courier New"/>
          <w:lang w:val="ro-RO"/>
        </w:rPr>
        <w:t xml:space="preserve">        |           50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50          |           20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20          |           10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w:t>
      </w:r>
      <w:r>
        <w:rPr>
          <w:rFonts w:ascii="Courier New" w:hAnsi="Courier New" w:cs="Courier New"/>
          <w:lang w:val="ro-RO"/>
        </w:rPr>
        <w:t>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*a) Doza modificată trebuie continuată timp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de 1 săptămână înainte de creşterea acesteia.|</w:t>
      </w:r>
    </w:p>
    <w:p w:rsidR="00D10D16" w:rsidRDefault="00CF7473">
      <w:pPr>
        <w:autoSpaceDE w:val="0"/>
        <w:spacing w:after="0" w:line="240" w:lineRule="auto"/>
      </w:pPr>
      <w:r>
        <w:rPr>
          <w:rFonts w:ascii="Courier New" w:hAnsi="Courier New" w:cs="Courier New"/>
          <w:lang w:val="ro-RO"/>
        </w:rPr>
        <w:t>|______________________________________________|</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c) Ajustarea dozelor în cazul utilizării concomitente a inhibitorilor CYP3A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Utilizarea concomitentă a venetoclax cu inhibitori puternici sau moderaţi ai CYP3A creşte expunerea la venetoclax şi poate creşte riscul de apariţie a SLT şi a altor fenomene toxice.</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Perioada de iniţiere şi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Este </w:t>
      </w:r>
      <w:r>
        <w:rPr>
          <w:rFonts w:ascii="Times New Roman" w:hAnsi="Times New Roman"/>
          <w:sz w:val="28"/>
          <w:szCs w:val="28"/>
          <w:lang w:val="ro-RO"/>
        </w:rPr>
        <w:t>contraindicată utilizarea concomitentă a venetoclax cu inhibitori puternici ai CYP3A.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Trebuie evitată utilizarea concomitentă cu inhibitori moderaţi ai CYP3A; trebuie luată în considerare utilizarea de alternative terapeutice.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cazul în </w:t>
      </w:r>
      <w:r>
        <w:rPr>
          <w:rFonts w:ascii="Times New Roman" w:hAnsi="Times New Roman"/>
          <w:sz w:val="28"/>
          <w:szCs w:val="28"/>
          <w:lang w:val="ro-RO"/>
        </w:rPr>
        <w:t>care trebuie utilizat un inhibitor moderat al CYP3A, doza iniţială de venetoclax şi dozele din perioada de ajustare a dozei trebuie reduse cu cel puţin 50%.</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trebuie monitorizaţi mai atent pentru depistarea semnelor de toxicitate.</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După</w:t>
      </w:r>
      <w:r>
        <w:rPr>
          <w:rFonts w:ascii="Times New Roman" w:hAnsi="Times New Roman"/>
          <w:sz w:val="28"/>
          <w:szCs w:val="28"/>
          <w:u w:val="single"/>
          <w:lang w:val="ro-RO"/>
        </w:rPr>
        <w:t xml:space="preserve"> terminarea perioadei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Pentru pacienţii care primesc o doză zilnică constantă de venetoclax, aceasta trebuie redusă cu 50% atunci când se utilizează concomitent cu inhibitori moderaţi ai CYP3A şi cu 75% dacă se utilizează concomite</w:t>
      </w:r>
      <w:r>
        <w:rPr>
          <w:rFonts w:ascii="Times New Roman" w:hAnsi="Times New Roman"/>
          <w:sz w:val="28"/>
          <w:szCs w:val="28"/>
          <w:lang w:val="ro-RO"/>
        </w:rPr>
        <w:t>nt cu inhibitori puternici ai CYP3A.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Pacienţii trebuie monitorizaţi mai atent pentru depistarea semnelor de toxicitate şi poate fi necesar ca doza să fie în continuare ajustată.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Doza de venetoclax utilizată înainte de începerea utilizării inhib</w:t>
      </w:r>
      <w:r>
        <w:rPr>
          <w:rFonts w:ascii="Times New Roman" w:hAnsi="Times New Roman"/>
          <w:sz w:val="28"/>
          <w:szCs w:val="28"/>
          <w:lang w:val="ro-RO"/>
        </w:rPr>
        <w:t>itorului CYP3A trebuie reluată la 2 până la 3 zile după întreruperea utilizării inhibitorului.</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Omiterea unei doze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cazul în care un pacient omite o doză de venetoclax şi au trecut mai puţin de 8 ore de la momentul în care aceasta trebuia admi</w:t>
      </w:r>
      <w:r>
        <w:rPr>
          <w:rFonts w:ascii="Times New Roman" w:hAnsi="Times New Roman"/>
          <w:sz w:val="28"/>
          <w:szCs w:val="28"/>
          <w:lang w:val="ro-RO"/>
        </w:rPr>
        <w:t>nistrată de obicei, pacientul trebuie să ia doza omisă cât mai curând posibil, în aceeaşi zi.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În cazul în care pacientul a omis o doză şi au trecut mai mult de 8 ore, pacientul nu trebuie să ia doza omisă şi trebuie să reia administrarea dozelor conf</w:t>
      </w:r>
      <w:r>
        <w:rPr>
          <w:rFonts w:ascii="Times New Roman" w:hAnsi="Times New Roman"/>
          <w:sz w:val="28"/>
          <w:szCs w:val="28"/>
          <w:lang w:val="ro-RO"/>
        </w:rPr>
        <w:t>orm schemei în ziua următoare.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Dacă pacientul prezintă vărsături după ce a luat doza, nu trebuie să ia o altă doză în ziua respectivă. Următoarea doză prescrisă trebuie luată conform programului în ziua următoare.</w:t>
      </w: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sz w:val="28"/>
          <w:szCs w:val="28"/>
          <w:u w:val="single"/>
          <w:lang w:val="ro-RO"/>
        </w:rPr>
        <w:t>• Durata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Trata</w:t>
      </w:r>
      <w:r>
        <w:rPr>
          <w:rFonts w:ascii="Times New Roman" w:hAnsi="Times New Roman"/>
          <w:sz w:val="28"/>
          <w:szCs w:val="28"/>
          <w:lang w:val="ro-RO"/>
        </w:rPr>
        <w:t>mentul în monoterapie trebuie continuat până la progresia bolii sau până când nu mai este tolerat de către pacient. Pentru administrarea în combinaţie, durata tratamentului este de 24 de luni din ciclul 1 ziua 1 de rituximab.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Reacţii adverse: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he</w:t>
      </w:r>
      <w:r>
        <w:rPr>
          <w:rFonts w:ascii="Times New Roman" w:hAnsi="Times New Roman"/>
          <w:sz w:val="28"/>
          <w:szCs w:val="28"/>
          <w:lang w:val="ro-RO"/>
        </w:rPr>
        <w:t>matologice: neutropenie, anemie;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infecţii: infecţii ale căilor respiratorii superioare, pneumonie, infecţii ale căilor urinare;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metabolice: sindromul de liză tumorală, hiperfosfatemie, hiperpotasemie, hiperuricemie, hipocalcemie, creş</w:t>
      </w:r>
      <w:r>
        <w:rPr>
          <w:rFonts w:ascii="Times New Roman" w:hAnsi="Times New Roman"/>
          <w:sz w:val="28"/>
          <w:szCs w:val="28"/>
          <w:lang w:val="ro-RO"/>
        </w:rPr>
        <w:t>terea creatininei;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gastro-intestinale: greaţă, vărsături, diaree, constipaţie;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generale: fatigabilitate.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Atenţionări şi precauţii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Insuficienţa renală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Nu este necesară ajustarea dozei la pacienţii cu insufic</w:t>
      </w:r>
      <w:r>
        <w:rPr>
          <w:rFonts w:ascii="Times New Roman" w:hAnsi="Times New Roman"/>
          <w:sz w:val="28"/>
          <w:szCs w:val="28"/>
          <w:lang w:val="ro-RO"/>
        </w:rPr>
        <w:t>ienţă renală uşoară sau moderată (ClCr &gt;/= 30 ml/min şi &lt; 90 ml/min).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La pacienţii cu insuficienţă renală (ClCr &lt; 80 ml/min) pot fi necesare profilaxie şi monitorizare mai intense în vederea reducerii riscului de apariţie a SLT în perioada de iniţier</w:t>
      </w:r>
      <w:r>
        <w:rPr>
          <w:rFonts w:ascii="Times New Roman" w:hAnsi="Times New Roman"/>
          <w:sz w:val="28"/>
          <w:szCs w:val="28"/>
          <w:lang w:val="ro-RO"/>
        </w:rPr>
        <w:t>e a tratamentului şi în timpul perioadei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Venetoclax poate fi administrat pacienţilor cu insuficienţă renală severă numai dacă beneficiul depăşeşte riscul şi aceşti pacienţi trebuie monitorizaţi atent pentru depistarea semnelor de</w:t>
      </w:r>
      <w:r>
        <w:rPr>
          <w:rFonts w:ascii="Times New Roman" w:hAnsi="Times New Roman"/>
          <w:sz w:val="28"/>
          <w:szCs w:val="28"/>
          <w:lang w:val="ro-RO"/>
        </w:rPr>
        <w:t xml:space="preserve"> toxicitate din cauza riscului crescut de apariţie a SLT.</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Insuficienţa hepatică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Nu se recomandă nicio ajustare a dozei la pacienţii cu insuficienţă hepatică uşoară sau moderată, dar deoarece s-a observat o tendinţă de creştere a </w:t>
      </w:r>
      <w:r>
        <w:rPr>
          <w:rFonts w:ascii="Times New Roman" w:hAnsi="Times New Roman"/>
          <w:sz w:val="28"/>
          <w:szCs w:val="28"/>
          <w:lang w:val="ro-RO"/>
        </w:rPr>
        <w:t>incidenţei reacţiilor adverse la pacienţii cu insuficienţă hepatică moderată, aceşti pacienţi trebuie monitorizaţi mai atent pentru depistarea semnelor de toxicitate în perioada de iniţiere a tratamentului şi în timpul perioadei de ajustare a dozei.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w:t>
      </w:r>
      <w:r>
        <w:rPr>
          <w:rFonts w:ascii="Times New Roman" w:hAnsi="Times New Roman"/>
          <w:sz w:val="28"/>
          <w:szCs w:val="28"/>
          <w:lang w:val="ro-RO"/>
        </w:rPr>
        <w:t>Nu se recomandă utilizarea venetoclax la pacienţii cu insuficienţă hepatică severă.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Neutropenie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La pacienţii trataţi cu venetoclax s-au raportat cazuri de neutropenie de grad 3 sau 4.</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Hemoleucograma completă trebuie </w:t>
      </w:r>
      <w:r>
        <w:rPr>
          <w:rFonts w:ascii="Times New Roman" w:hAnsi="Times New Roman"/>
          <w:sz w:val="28"/>
          <w:szCs w:val="28"/>
          <w:lang w:val="ro-RO"/>
        </w:rPr>
        <w:t>monitorizată pe toată durata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Se recomandă întreruperea administrării sau reducerea dozelor la pacienţii cu neutropenie severă.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cazul oricăror semne de infecţie, se va avea în vedere utilizarea măsurilor suportive, inclusiv ter</w:t>
      </w:r>
      <w:r>
        <w:rPr>
          <w:rFonts w:ascii="Times New Roman" w:hAnsi="Times New Roman"/>
          <w:sz w:val="28"/>
          <w:szCs w:val="28"/>
          <w:lang w:val="ro-RO"/>
        </w:rPr>
        <w:t>apiile antimicrobiene.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Imunizare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Vaccinurile vii nu trebuie administrate în timpul şi după tratamentul cu venetoclax până când nu sunt refăcute celulele B.</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Femeile aflate la vârsta fertilă/Contracepţia la femei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Femeile trebuie să </w:t>
      </w:r>
      <w:r>
        <w:rPr>
          <w:rFonts w:ascii="Times New Roman" w:hAnsi="Times New Roman"/>
          <w:sz w:val="28"/>
          <w:szCs w:val="28"/>
          <w:lang w:val="ro-RO"/>
        </w:rPr>
        <w:t>evite să rămână gravide pe durata tratamentului cu venetoclax şi timp de cel puţin 30 de zile după oprirea tratamentului; de aceea, femeile aflate la vârsta fertilă trebuie să utilizeze metode contraceptive eficiente în timpul tratamentului cu venetoclax ş</w:t>
      </w:r>
      <w:r>
        <w:rPr>
          <w:rFonts w:ascii="Times New Roman" w:hAnsi="Times New Roman"/>
          <w:sz w:val="28"/>
          <w:szCs w:val="28"/>
          <w:lang w:val="ro-RO"/>
        </w:rPr>
        <w:t>i timp de 30 de zile după întreruperea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prezent nu se cunoaşte dacă venetoclax reduce eficacitatea contraceptivelor hormonale şi de aceea femeile care utilizează contraceptive hormonale trebuie să adauge o metodă contraceptivă de tip</w:t>
      </w:r>
      <w:r>
        <w:rPr>
          <w:rFonts w:ascii="Times New Roman" w:hAnsi="Times New Roman"/>
          <w:sz w:val="28"/>
          <w:szCs w:val="28"/>
          <w:lang w:val="ro-RO"/>
        </w:rPr>
        <w:t xml:space="preserve"> barieră.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Sarcina şi alăptarea</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Venetoclax nu este recomandat în timpul sarcinii.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Alăptarea trebuie întreruptă în timpul tratamentului.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Fertilitate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Înainte de începerea tratamentului, la unii pacienţi de sex masculin poate fi</w:t>
      </w:r>
      <w:r>
        <w:rPr>
          <w:rFonts w:ascii="Times New Roman" w:hAnsi="Times New Roman"/>
          <w:sz w:val="28"/>
          <w:szCs w:val="28"/>
          <w:lang w:val="ro-RO"/>
        </w:rPr>
        <w:t xml:space="preserve"> luată în considerare consilierea privind depozitarea spermei.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Prescriptori: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Iniţierea şi continuarea tratamentului se fac de către medicii din specialitatea hematologie (sau, după caz, specialişti de oncologie medicală)."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7. După protocolu</w:t>
      </w:r>
      <w:r>
        <w:rPr>
          <w:rFonts w:ascii="Times New Roman" w:hAnsi="Times New Roman"/>
          <w:b/>
          <w:bCs/>
          <w:sz w:val="28"/>
          <w:szCs w:val="28"/>
          <w:lang w:val="ro-RO"/>
        </w:rPr>
        <w:t>l terapeutic corespunzător poziţiei nr. 268 se introduce protocolul terapeutic corespunzător poziţiei nr. 269 cod (A16AB09): DCI IDURSULFASUM, cu următorul cuprins:</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pPr>
      <w:r>
        <w:rPr>
          <w:rFonts w:ascii="Times New Roman" w:hAnsi="Times New Roman"/>
          <w:b/>
          <w:bCs/>
          <w:sz w:val="28"/>
          <w:szCs w:val="28"/>
          <w:lang w:val="ro-RO"/>
        </w:rPr>
        <w:lastRenderedPageBreak/>
        <w:t xml:space="preserve">    "DCI: IDURSULFASE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 Generalităţi</w:t>
      </w:r>
    </w:p>
    <w:p w:rsidR="00D10D16" w:rsidRDefault="00D10D16">
      <w:pPr>
        <w:autoSpaceDE w:val="0"/>
        <w:spacing w:after="0" w:line="240" w:lineRule="auto"/>
        <w:rPr>
          <w:rFonts w:ascii="Times New Roman" w:hAnsi="Times New Roman"/>
          <w:b/>
          <w:bCs/>
          <w:sz w:val="28"/>
          <w:szCs w:val="28"/>
          <w:lang w:val="ro-RO"/>
        </w:rPr>
      </w:pPr>
    </w:p>
    <w:p w:rsidR="00D10D16" w:rsidRDefault="00CF7473">
      <w:pPr>
        <w:autoSpaceDE w:val="0"/>
        <w:spacing w:after="0" w:line="240" w:lineRule="auto"/>
      </w:pPr>
      <w:r>
        <w:rPr>
          <w:rFonts w:ascii="Times New Roman" w:hAnsi="Times New Roman"/>
          <w:b/>
          <w:bCs/>
          <w:sz w:val="28"/>
          <w:szCs w:val="28"/>
          <w:lang w:val="ro-RO"/>
        </w:rPr>
        <w:t xml:space="preserve">    Definiţie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Sindromul Hunter este </w:t>
      </w:r>
      <w:r>
        <w:rPr>
          <w:rFonts w:ascii="Times New Roman" w:hAnsi="Times New Roman"/>
          <w:sz w:val="28"/>
          <w:szCs w:val="28"/>
          <w:lang w:val="ro-RO"/>
        </w:rPr>
        <w:t>determinat de deficienţa de Iduronat-2-sulfataza (I2S) care în mod normal clivează grupul sulfat de pe glicozaminoglicanii heparan şi dermatan sulfat. O scădere a iduronat-2-sulfatazei conduce la acumularea de glicozaminoglicani nedegradaţi în lizozomii di</w:t>
      </w:r>
      <w:r>
        <w:rPr>
          <w:rFonts w:ascii="Times New Roman" w:hAnsi="Times New Roman"/>
          <w:sz w:val="28"/>
          <w:szCs w:val="28"/>
          <w:lang w:val="ro-RO"/>
        </w:rPr>
        <w:t>feritelor organe şi ţesuturi, inclusiv la nivelul sistemului nervos central. Acumularea depozitelor de glicozaminoglicani nedegradaţi conduce la alterarea structurii şi funcţiilor ţesuturilor şi celulelor, rezultând multiple disfuncţii de organe şi sisteme</w:t>
      </w:r>
      <w:r>
        <w:rPr>
          <w:rFonts w:ascii="Times New Roman" w:hAnsi="Times New Roman"/>
          <w:sz w:val="28"/>
          <w:szCs w:val="28"/>
          <w:lang w:val="ro-RO"/>
        </w:rPr>
        <w:t>, producând un spectru larg de manifestări clinice cronice şi progresive.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Incidenţa estimată a sindromului Hunter este de 0,69 - 1,19 la 100.000 de nou-născuţi, este aproape exclusiv la populaţia masculină, deşi au fost raportate cazuri şi în rândul po</w:t>
      </w:r>
      <w:r>
        <w:rPr>
          <w:rFonts w:ascii="Times New Roman" w:hAnsi="Times New Roman"/>
          <w:sz w:val="28"/>
          <w:szCs w:val="28"/>
          <w:lang w:val="ro-RO"/>
        </w:rPr>
        <w:t>pulaţiei feminine, manifestările clinice fiind la fel de severe. Gena I2S este localizată pe cromozomul X şi până acum au fost descrise mai mult de 300 de mutaţii ale acesteia.</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Diagnostic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Diagnosticul precoce este esenţial pentru creşterea şanselo</w:t>
      </w:r>
      <w:r>
        <w:rPr>
          <w:rFonts w:ascii="Times New Roman" w:hAnsi="Times New Roman"/>
          <w:sz w:val="28"/>
          <w:szCs w:val="28"/>
          <w:lang w:val="ro-RO"/>
        </w:rPr>
        <w:t>r de îmbunătăţire a condiţiei pacienţilor cu sindrom Hunter şi implică o combinaţie între diagnosticul clinic, biochimic şi molecular.</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Diagnosticul clinic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general medicul pediatru pune diagnosticul de sindrom Hunter ca urmare a manifestărilor a</w:t>
      </w:r>
      <w:r>
        <w:rPr>
          <w:rFonts w:ascii="Times New Roman" w:hAnsi="Times New Roman"/>
          <w:sz w:val="28"/>
          <w:szCs w:val="28"/>
          <w:lang w:val="ro-RO"/>
        </w:rPr>
        <w:t>părute în primii ani de viaţă. Vârsta de prezentare la medicul pediatru poate varia în funcţie de simptomatologia copilului, care poate varia de la manifestări blânde şi discrete până la severe.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De multe ori copiii cu sindrom Hunter sunt supuşi diferit</w:t>
      </w:r>
      <w:r>
        <w:rPr>
          <w:rFonts w:ascii="Times New Roman" w:hAnsi="Times New Roman"/>
          <w:sz w:val="28"/>
          <w:szCs w:val="28"/>
          <w:lang w:val="ro-RO"/>
        </w:rPr>
        <w:t>elor intervenţii chirurgicale înainte de diagnostic şi de aceea un istoric chirurgical de hernie, timpanostomie, adenoidectomie, canal carpian poate ridica suspiciunea de sindrom Hunter.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primele luni de viaţă simptomele sunt de tip respirator, la ca</w:t>
      </w:r>
      <w:r>
        <w:rPr>
          <w:rFonts w:ascii="Times New Roman" w:hAnsi="Times New Roman"/>
          <w:sz w:val="28"/>
          <w:szCs w:val="28"/>
          <w:lang w:val="ro-RO"/>
        </w:rPr>
        <w:t>re destul de frecvent se asociază hernie ombilicală şi inghinală, statură mică, faţă aspră, macroglosie şi hiperplazie gingivală.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Manifestări clinice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disfuncţii respiratorii superioare şi creşterea frecvenţei infecţiilor respiratorii </w:t>
      </w:r>
      <w:r>
        <w:rPr>
          <w:rFonts w:ascii="Times New Roman" w:hAnsi="Times New Roman"/>
          <w:sz w:val="28"/>
          <w:szCs w:val="28"/>
          <w:lang w:val="ro-RO"/>
        </w:rPr>
        <w:t>superioare;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sindromul de apnee în somn este una din complicaţiile destul de comune;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 interesarea structurilor osteoarticulare este o manifestare timpurie a sindromului Hunter şi este caracterizată prin disostoză multiplă, macrocefalie, structură</w:t>
      </w:r>
      <w:r>
        <w:rPr>
          <w:rFonts w:ascii="Times New Roman" w:hAnsi="Times New Roman"/>
          <w:sz w:val="28"/>
          <w:szCs w:val="28"/>
          <w:lang w:val="ro-RO"/>
        </w:rPr>
        <w:t xml:space="preserve"> anormală a vertebrelor L1 şi L2 cu apariţia cifozei, creşterea diametrului antero-posterior al toracelui şi subţierea diafizelor oaselor lungi, artropatie progresivă, sindrom de canal carpian;</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abdomen mărit ca urmare a hepatosplenomegaliei;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sc</w:t>
      </w:r>
      <w:r>
        <w:rPr>
          <w:rFonts w:ascii="Times New Roman" w:hAnsi="Times New Roman"/>
          <w:sz w:val="28"/>
          <w:szCs w:val="28"/>
          <w:lang w:val="ro-RO"/>
        </w:rPr>
        <w:t>ăderea acuităţii auditive;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cardiomiopatie şi boală valvulară;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neurologic: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două treimi din pacienţi au retard psihomotor, tulburări comportamentale, regresie neurologică. În formele atenuate simptomatologia şi semnele clinice apar mai târz</w:t>
      </w:r>
      <w:r>
        <w:rPr>
          <w:rFonts w:ascii="Times New Roman" w:hAnsi="Times New Roman"/>
          <w:sz w:val="28"/>
          <w:szCs w:val="28"/>
          <w:lang w:val="ro-RO"/>
        </w:rPr>
        <w:t>iu cu disfuncţii neurologice minime. La această categorie de pacienţi dezvoltarea psihică şi cognitivă este normală, putând ajunge la vârsta adultă când pot să apară manifestări neurologice secundare ca urmare a stenozei cervicale, sindromului de canal car</w:t>
      </w:r>
      <w:r>
        <w:rPr>
          <w:rFonts w:ascii="Times New Roman" w:hAnsi="Times New Roman"/>
          <w:sz w:val="28"/>
          <w:szCs w:val="28"/>
          <w:lang w:val="ro-RO"/>
        </w:rPr>
        <w:t>pian şi hidrocefaliei;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în formele severe manifestarea principală poate fi de natură psihică cu retard psihomotor ca urmare a depozitelor de glicozaminoglicani sau datorită altor mecanisme inflamatorii neurotoxice secundare.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cazurile severe dec</w:t>
      </w:r>
      <w:r>
        <w:rPr>
          <w:rFonts w:ascii="Times New Roman" w:hAnsi="Times New Roman"/>
          <w:sz w:val="28"/>
          <w:szCs w:val="28"/>
          <w:lang w:val="ro-RO"/>
        </w:rPr>
        <w:t>esul apare în prima sau a doua decadă a vieţii ca urmare a bolii respiratorii obstructive sau insuficienţei cardiace.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Prevalenţa semnelor şi simptomatologia clinică a pacienţilor cu sindrom Hunter pot fi reprezentate în tabelul de mai jos:</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___________</w:t>
      </w:r>
      <w:r>
        <w:rPr>
          <w:rFonts w:ascii="Courier New" w:hAnsi="Courier New" w:cs="Courier New"/>
          <w:lang w:val="ro-RO"/>
        </w:rPr>
        <w:t>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Organ/Regiune  |        Semne/                    | Prevalenţa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anatomică      |        Simptomatologie           |     (%)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Regiunea capului | Dismorfism facial, facies uscat, |      95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macrocefalie, hidrocefalie       |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w:t>
      </w:r>
      <w:r>
        <w:rPr>
          <w:rFonts w:ascii="Courier New" w:hAnsi="Courier New" w:cs="Courier New"/>
          <w:lang w:val="ro-RO"/>
        </w:rPr>
        <w:t>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ORL              | Macroglosie                      |      70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Otită medie                      |      72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w:t>
      </w:r>
      <w:r>
        <w:rPr>
          <w:rFonts w:ascii="Courier New" w:hAnsi="Courier New" w:cs="Courier New"/>
          <w:lang w:val="ro-RO"/>
        </w:rPr>
        <w:t>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Scăderea auzului                 |      67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Obstrucţie nazală                |      34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w:t>
      </w:r>
      <w:r>
        <w:rPr>
          <w:rFonts w:ascii="Courier New" w:hAnsi="Courier New" w:cs="Courier New"/>
          <w:lang w:val="ro-RO"/>
        </w:rPr>
        <w:t>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Creşterea tonsilelor/adenoide    |      68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Cardiovascular   | Murmur cardiac                   |   </w:t>
      </w:r>
      <w:r>
        <w:rPr>
          <w:rFonts w:ascii="Courier New" w:hAnsi="Courier New" w:cs="Courier New"/>
          <w:lang w:val="ro-RO"/>
        </w:rPr>
        <w:t xml:space="preserve">   62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Boală valvulară                  |      57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Gastro-intestinal| Hernie abdominală</w:t>
      </w:r>
      <w:r>
        <w:rPr>
          <w:rFonts w:ascii="Courier New" w:hAnsi="Courier New" w:cs="Courier New"/>
          <w:lang w:val="ro-RO"/>
        </w:rPr>
        <w:t xml:space="preserve">                |      78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lastRenderedPageBreak/>
        <w:t>|                  | Hepatosplenomegalie              |      89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Osteoarticular  </w:t>
      </w:r>
      <w:r>
        <w:rPr>
          <w:rFonts w:ascii="Courier New" w:hAnsi="Courier New" w:cs="Courier New"/>
          <w:lang w:val="ro-RO"/>
        </w:rPr>
        <w:t xml:space="preserve"> | Redoare articulară cu limitarea  |      84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funcţională sau contractură      |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 Cifoză/Scolioză </w:t>
      </w:r>
      <w:r>
        <w:rPr>
          <w:rFonts w:ascii="Courier New" w:hAnsi="Courier New" w:cs="Courier New"/>
          <w:lang w:val="ro-RO"/>
        </w:rPr>
        <w:t xml:space="preserve">                 |      39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Neurologic       | Hidrocefalie                     |      17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Convulsii                        |      18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 Dificultăţi la înghiţire    </w:t>
      </w:r>
      <w:r>
        <w:rPr>
          <w:rFonts w:ascii="Courier New" w:hAnsi="Courier New" w:cs="Courier New"/>
          <w:lang w:val="ro-RO"/>
        </w:rPr>
        <w:t xml:space="preserve">     |      27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Sindrom de canal carpian         |      25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Dificult</w:t>
      </w:r>
      <w:r>
        <w:rPr>
          <w:rFonts w:ascii="Courier New" w:hAnsi="Courier New" w:cs="Courier New"/>
          <w:lang w:val="ro-RO"/>
        </w:rPr>
        <w:t>ăţi de efectuare a       |      33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manevrelor de fineţe             |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Hiperactivitate                  |      31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w:t>
      </w:r>
      <w:r>
        <w:rPr>
          <w:rFonts w:ascii="Courier New" w:hAnsi="Courier New" w:cs="Courier New"/>
          <w:lang w:val="ro-RO"/>
        </w:rPr>
        <w:t>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Tulburări cognitive              |      37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 Tulburări comportamentale        |   </w:t>
      </w:r>
      <w:r>
        <w:rPr>
          <w:rFonts w:ascii="Courier New" w:hAnsi="Courier New" w:cs="Courier New"/>
          <w:lang w:val="ro-RO"/>
        </w:rPr>
        <w:t xml:space="preserve">   36    |</w:t>
      </w:r>
    </w:p>
    <w:p w:rsidR="00D10D16" w:rsidRDefault="00CF7473">
      <w:pPr>
        <w:autoSpaceDE w:val="0"/>
        <w:spacing w:after="0" w:line="240" w:lineRule="auto"/>
      </w:pPr>
      <w:r>
        <w:rPr>
          <w:rFonts w:ascii="Courier New" w:hAnsi="Courier New" w:cs="Courier New"/>
          <w:lang w:val="ro-RO"/>
        </w:rPr>
        <w:t>|__________________|__________________________________|____________|</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Diagnosticul biochimic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În majoritatea cazurilor, glicozaminoglicanii urinari sunt crescuţi, dar nu reprezintă un diagnostic de certitudine pentru sindromul Hunter, fii</w:t>
      </w:r>
      <w:r>
        <w:rPr>
          <w:rFonts w:ascii="Times New Roman" w:hAnsi="Times New Roman"/>
          <w:sz w:val="28"/>
          <w:szCs w:val="28"/>
          <w:lang w:val="ro-RO"/>
        </w:rPr>
        <w:t>nd necesare evaluări suplimentare. Testarea glicozaminoglicanilor urinari poate fi cantitativă, dar şi calitativă (prin electroforeză şi cromatografie) şi are dezavantajul unei lipse de specificitate cu multe rezultate fals-negative. Documentarea creşterii</w:t>
      </w:r>
      <w:r>
        <w:rPr>
          <w:rFonts w:ascii="Times New Roman" w:hAnsi="Times New Roman"/>
          <w:sz w:val="28"/>
          <w:szCs w:val="28"/>
          <w:lang w:val="ro-RO"/>
        </w:rPr>
        <w:t xml:space="preserve"> glicozaminoglicanilor urinari, în special a dermatanului şi heparanului, orientează medicul către testarea enzimatică sanguină care pune diagnosticul definitiv de sindrom Hunter prin obiectivarea deficienţei iduronat-2-sulfatazei.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Diagnosticul molecu</w:t>
      </w:r>
      <w:r>
        <w:rPr>
          <w:rFonts w:ascii="Times New Roman" w:hAnsi="Times New Roman"/>
          <w:b/>
          <w:bCs/>
          <w:sz w:val="28"/>
          <w:szCs w:val="28"/>
          <w:lang w:val="ro-RO"/>
        </w:rPr>
        <w:t>lar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Deşi nu este necesar pentru stabilirea diagnosticului definitiv de sindrom Hunter, testarea genei I2S poate fi utilă în cazurile-limită sau în special pentru cuplurile fertile care solicită consiliere genetică sau testare prenatală, dar au fost des</w:t>
      </w:r>
      <w:r>
        <w:rPr>
          <w:rFonts w:ascii="Times New Roman" w:hAnsi="Times New Roman"/>
          <w:sz w:val="28"/>
          <w:szCs w:val="28"/>
          <w:lang w:val="ro-RO"/>
        </w:rPr>
        <w:t>crise mai mult de 300 de mutaţii ale genei.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Tratamentul pacienţilor cu sindrom Hunter se face cu idursulfase care este o formă purificată a enzimei lizozomale iduronat-2-sulfatază, obţinută dintr-o linie de celule umane, şi care este</w:t>
      </w:r>
      <w:r>
        <w:rPr>
          <w:rFonts w:ascii="Times New Roman" w:hAnsi="Times New Roman"/>
          <w:sz w:val="28"/>
          <w:szCs w:val="28"/>
          <w:lang w:val="ro-RO"/>
        </w:rPr>
        <w:t xml:space="preserve"> analog al enzimei produse pe cale naturală.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III. Criterii de includere în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pacienţi de sex masculin, dar şi feminin cu diagnostic de certitudine de sindrom Hunter. Deşi toate ghidurile terapeutice recomandă utilizarea </w:t>
      </w:r>
      <w:r>
        <w:rPr>
          <w:rFonts w:ascii="Times New Roman" w:hAnsi="Times New Roman"/>
          <w:sz w:val="28"/>
          <w:szCs w:val="28"/>
          <w:lang w:val="ro-RO"/>
        </w:rPr>
        <w:t>idursulfazei la copii cu vârste mai mari de 5 ani, studii clinice recente arată că se poate administra şi la copii cu vârste mai mici, rezultatele demonstrând un profil de siguranţă şi un raport beneficiu-risc similar cu al pacienţilor peste 5 ani.</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IV</w:t>
      </w:r>
      <w:r>
        <w:rPr>
          <w:rFonts w:ascii="Times New Roman" w:hAnsi="Times New Roman"/>
          <w:b/>
          <w:bCs/>
          <w:sz w:val="28"/>
          <w:szCs w:val="28"/>
          <w:lang w:val="ro-RO"/>
        </w:rPr>
        <w:t>. Criterii de excludere din tratament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Contraindicaţii absolute: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hipersensibilitatea la substanţa activă sau la oricare dintre excipienţi, dacă hipersensibilitatea nu este controlată;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istoric de reacţii anafilactice/anafilactoide.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Contra</w:t>
      </w:r>
      <w:r>
        <w:rPr>
          <w:rFonts w:ascii="Times New Roman" w:hAnsi="Times New Roman"/>
          <w:sz w:val="28"/>
          <w:szCs w:val="28"/>
          <w:lang w:val="ro-RO"/>
        </w:rPr>
        <w:t>indicaţii relative - administrarea se face după stabilizare şi control:</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ale sistemului nervos - cefalee, ameţeală, tremor;</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cardiace - aritmie, tahicardie;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cardiace - hiper- sau hipotensiune arterială;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w:t>
      </w:r>
      <w:r>
        <w:rPr>
          <w:rFonts w:ascii="Times New Roman" w:hAnsi="Times New Roman"/>
          <w:sz w:val="28"/>
          <w:szCs w:val="28"/>
          <w:lang w:val="ro-RO"/>
        </w:rPr>
        <w:t>ulburări respiratorii - dispnee, brohospasm, hipoxie, afecţiuni respiratorii ale căilor aeriene inferioare;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gastrointestinale - dureri abdominale severe, vărsături;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tulburări cutanate - erupţii cutanate extinse, eritem cutanat extins.</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Atenţionări speciale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La unii pacienţi au fost observate reacţii anafilactice care pot pune viaţa în pericol şi după câţiva ani de la iniţierea tratamentului. Reacţii anafilactice tardive au fost observate şi până la 24 de ore de la reacţia iniţia</w:t>
      </w:r>
      <w:r>
        <w:rPr>
          <w:rFonts w:ascii="Times New Roman" w:hAnsi="Times New Roman"/>
          <w:sz w:val="28"/>
          <w:szCs w:val="28"/>
          <w:lang w:val="ro-RO"/>
        </w:rPr>
        <w:t>lă.</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 Doze</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Idursulfaza se administrează în doze de 0,5 mg/kg la intervale de o săptămână, sub formă de perfuzie intravenoasă timp de 3 ore, durată care poate fi redusă treptat la 1 oră în cazul în care nu s-au observat reacţii adverse asociate pe</w:t>
      </w:r>
      <w:r>
        <w:rPr>
          <w:rFonts w:ascii="Times New Roman" w:hAnsi="Times New Roman"/>
          <w:sz w:val="28"/>
          <w:szCs w:val="28"/>
          <w:lang w:val="ro-RO"/>
        </w:rPr>
        <w:t xml:space="preserve">rfuziei. Se poate avea în vedere administrarea la domiciliu a perfuziei cu elaprase în cazul pacienţilor care au fost trataţi timp de mai multe luni în spital şi care au o bună toleranţă la perfuzie. Administrarea perfuziei la domiciliu trebuie să se facă </w:t>
      </w:r>
      <w:r>
        <w:rPr>
          <w:rFonts w:ascii="Times New Roman" w:hAnsi="Times New Roman"/>
          <w:sz w:val="28"/>
          <w:szCs w:val="28"/>
          <w:lang w:val="ro-RO"/>
        </w:rPr>
        <w:t>sub supravegherea unui medic sau a unui cadru medical.</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 Monitorizarea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La pacienţii sub tratament cu idursulfază standardul de monitorizare îl reprezintă nivelul glicozaminoglicanilor urinari care arată răspunsul terapeutic.</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Mo</w:t>
      </w:r>
      <w:r>
        <w:rPr>
          <w:rFonts w:ascii="Times New Roman" w:hAnsi="Times New Roman"/>
          <w:sz w:val="28"/>
          <w:szCs w:val="28"/>
          <w:lang w:val="ro-RO"/>
        </w:rPr>
        <w:t>nitorizarea clinică se efectuează în mod regulat de către medic conform tabelului de mai jos:</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xml:space="preserve"> ___________________________________________________________________________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Evaluare                    | Recomandare|</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w:t>
      </w:r>
      <w:r>
        <w:rPr>
          <w:rFonts w:ascii="Courier New" w:hAnsi="Courier New" w:cs="Courier New"/>
          <w:lang w:val="ro-RO"/>
        </w:rPr>
        <w:t>____________|___________________________________________|____________|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Istoric medical  | Evaluare clinică şi evaluarea dezvoltării |   Bianual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Examinare fizică | Evaluare clinică, măsurarea greutăţii,    |   Bianual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înălţimii, tensiunii arteriale,           |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 c</w:t>
      </w:r>
      <w:r>
        <w:rPr>
          <w:rFonts w:ascii="Courier New" w:hAnsi="Courier New" w:cs="Courier New"/>
          <w:lang w:val="ro-RO"/>
        </w:rPr>
        <w:t>ircumferinţa craniului                   |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Neurologic       | Evaluare cognitivă                        |   Anual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Cardiovascular   | Ecocardiogramă, EKG                       |   Anual    |</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|__________________|___________________________________________|____________|</w:t>
      </w:r>
    </w:p>
    <w:p w:rsidR="00D10D16" w:rsidRDefault="00CF7473">
      <w:pPr>
        <w:autoSpaceDE w:val="0"/>
        <w:spacing w:after="0" w:line="240" w:lineRule="auto"/>
        <w:rPr>
          <w:rFonts w:ascii="Courier New" w:hAnsi="Courier New" w:cs="Courier New"/>
          <w:lang w:val="ro-RO"/>
        </w:rPr>
      </w:pPr>
      <w:r>
        <w:rPr>
          <w:rFonts w:ascii="Courier New" w:hAnsi="Courier New" w:cs="Courier New"/>
          <w:lang w:val="ro-RO"/>
        </w:rPr>
        <w:t>| Musculoscheletal | E</w:t>
      </w:r>
      <w:r>
        <w:rPr>
          <w:rFonts w:ascii="Courier New" w:hAnsi="Courier New" w:cs="Courier New"/>
          <w:lang w:val="ro-RO"/>
        </w:rPr>
        <w:t>valuarea osteoarticulară                 |   Anual    |</w:t>
      </w:r>
    </w:p>
    <w:p w:rsidR="00D10D16" w:rsidRDefault="00CF7473">
      <w:pPr>
        <w:autoSpaceDE w:val="0"/>
        <w:spacing w:after="0" w:line="240" w:lineRule="auto"/>
      </w:pPr>
      <w:r>
        <w:rPr>
          <w:rFonts w:ascii="Courier New" w:hAnsi="Courier New" w:cs="Courier New"/>
          <w:lang w:val="ro-RO"/>
        </w:rPr>
        <w:t>|__________________|___________________________________________|____________|</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VII. Criterii de întrerupere temporară sau totală a tratamentului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formă severă sau avansată la care nu se obser</w:t>
      </w:r>
      <w:r>
        <w:rPr>
          <w:rFonts w:ascii="Times New Roman" w:hAnsi="Times New Roman"/>
          <w:sz w:val="28"/>
          <w:szCs w:val="28"/>
          <w:lang w:val="ro-RO"/>
        </w:rPr>
        <w:t>vă nicio eficacitate terapeutică;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după 6 - 12 luni de administrare fără documentarea vreunui beneficiu terapeutic evident;</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exacerbarea tulburărilor comportamentale ca urmare a administrării idursulfazei;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declin neurologic progresiv;</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reacţii adverse grave legate de administrarea idursulfazei;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comorbidităţi ameninţătoare de viaţă;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sarcină;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 alăptare.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pPr>
      <w:r>
        <w:rPr>
          <w:rFonts w:ascii="Times New Roman" w:hAnsi="Times New Roman"/>
          <w:sz w:val="28"/>
          <w:szCs w:val="28"/>
          <w:lang w:val="ro-RO"/>
        </w:rPr>
        <w:t xml:space="preserve">    </w:t>
      </w:r>
      <w:r>
        <w:rPr>
          <w:rFonts w:ascii="Times New Roman" w:hAnsi="Times New Roman"/>
          <w:b/>
          <w:bCs/>
          <w:sz w:val="28"/>
          <w:szCs w:val="28"/>
          <w:lang w:val="ro-RO"/>
        </w:rPr>
        <w:t>VIII. Prescriptori:</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    Iniţierea, continuarea şi monitorizarea tratamentului se vor face de către medicii din spec</w:t>
      </w:r>
      <w:r>
        <w:rPr>
          <w:rFonts w:ascii="Times New Roman" w:hAnsi="Times New Roman"/>
          <w:sz w:val="28"/>
          <w:szCs w:val="28"/>
          <w:lang w:val="ro-RO"/>
        </w:rPr>
        <w:t>ialităţile: pediatrie, gastroenterologie, hematologie.</w:t>
      </w:r>
    </w:p>
    <w:p w:rsidR="00D10D16" w:rsidRDefault="00D10D16">
      <w:pPr>
        <w:autoSpaceDE w:val="0"/>
        <w:spacing w:after="0" w:line="240" w:lineRule="auto"/>
        <w:rPr>
          <w:rFonts w:ascii="Times New Roman" w:hAnsi="Times New Roman"/>
          <w:sz w:val="28"/>
          <w:szCs w:val="28"/>
          <w:lang w:val="ro-RO"/>
        </w:rPr>
      </w:pP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NOTĂ:</w:t>
      </w:r>
    </w:p>
    <w:p w:rsidR="00D10D16" w:rsidRDefault="00CF7473">
      <w:pPr>
        <w:autoSpaceDE w:val="0"/>
        <w:spacing w:after="0" w:line="240" w:lineRule="auto"/>
        <w:rPr>
          <w:rFonts w:ascii="Times New Roman" w:hAnsi="Times New Roman"/>
          <w:sz w:val="28"/>
          <w:szCs w:val="28"/>
          <w:lang w:val="ro-RO"/>
        </w:rPr>
      </w:pPr>
      <w:r>
        <w:rPr>
          <w:rFonts w:ascii="Times New Roman" w:hAnsi="Times New Roman"/>
          <w:sz w:val="28"/>
          <w:szCs w:val="28"/>
          <w:lang w:val="ro-RO"/>
        </w:rPr>
        <w:t xml:space="preserve">    Monitorizarea copiilor şi adulţilor cu sindrom Hunter se face semestrial de medicul curant al pacientului şi cel puţin o dată pe an în Centrul Regional de Genetică Medicală din Cluj pent</w:t>
      </w:r>
      <w:r>
        <w:rPr>
          <w:rFonts w:ascii="Times New Roman" w:hAnsi="Times New Roman"/>
          <w:sz w:val="28"/>
          <w:szCs w:val="28"/>
          <w:lang w:val="ro-RO"/>
        </w:rPr>
        <w:t>ru copii şi în Spitalul Clinic Judeţean de Urgenţă - Clinica Medicală II - din Cluj, pentru adulţi."</w:t>
      </w:r>
    </w:p>
    <w:p w:rsidR="00D10D16" w:rsidRDefault="00D10D16">
      <w:pPr>
        <w:autoSpaceDE w:val="0"/>
        <w:spacing w:after="0" w:line="240" w:lineRule="auto"/>
        <w:rPr>
          <w:rFonts w:ascii="Times New Roman" w:hAnsi="Times New Roman"/>
          <w:sz w:val="28"/>
          <w:szCs w:val="28"/>
          <w:lang w:val="ro-RO"/>
        </w:rPr>
      </w:pPr>
    </w:p>
    <w:p w:rsidR="00D10D16" w:rsidRDefault="00CF7473">
      <w:r>
        <w:rPr>
          <w:rFonts w:ascii="Times New Roman" w:hAnsi="Times New Roman"/>
          <w:sz w:val="28"/>
          <w:szCs w:val="28"/>
          <w:lang w:val="ro-RO"/>
        </w:rPr>
        <w:t xml:space="preserve">                              ---------------</w:t>
      </w:r>
    </w:p>
    <w:sectPr w:rsidR="00D10D1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F7473">
      <w:pPr>
        <w:spacing w:after="0" w:line="240" w:lineRule="auto"/>
      </w:pPr>
      <w:r>
        <w:separator/>
      </w:r>
    </w:p>
  </w:endnote>
  <w:endnote w:type="continuationSeparator" w:id="0">
    <w:p w:rsidR="00000000" w:rsidRDefault="00CF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F7473">
      <w:pPr>
        <w:spacing w:after="0" w:line="240" w:lineRule="auto"/>
      </w:pPr>
      <w:r>
        <w:rPr>
          <w:color w:val="000000"/>
        </w:rPr>
        <w:separator/>
      </w:r>
    </w:p>
  </w:footnote>
  <w:footnote w:type="continuationSeparator" w:id="0">
    <w:p w:rsidR="00000000" w:rsidRDefault="00CF7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10D16"/>
    <w:rsid w:val="00CF7473"/>
    <w:rsid w:val="00D1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9DE4-99D1-48C2-B418-2561D185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9766</Words>
  <Characters>55669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dc:creator>
  <dc:description/>
  <cp:lastModifiedBy>Lici</cp:lastModifiedBy>
  <cp:revision>2</cp:revision>
  <dcterms:created xsi:type="dcterms:W3CDTF">2019-08-01T06:05:00Z</dcterms:created>
  <dcterms:modified xsi:type="dcterms:W3CDTF">2019-08-01T06:05:00Z</dcterms:modified>
</cp:coreProperties>
</file>